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52" w:rsidRDefault="00991752" w:rsidP="00991752">
      <w:pPr>
        <w:spacing w:line="360" w:lineRule="auto"/>
        <w:jc w:val="center"/>
        <w:rPr>
          <w:rFonts w:ascii="Cambria" w:hAnsi="Cambria"/>
          <w:smallCaps/>
          <w:u w:val="single"/>
        </w:rPr>
      </w:pPr>
      <w:bookmarkStart w:id="0" w:name="_GoBack"/>
      <w:bookmarkEnd w:id="0"/>
    </w:p>
    <w:p w:rsidR="00420353" w:rsidRDefault="00420353" w:rsidP="008014DC">
      <w:pPr>
        <w:spacing w:line="360" w:lineRule="auto"/>
        <w:jc w:val="center"/>
        <w:rPr>
          <w:rFonts w:ascii="Cambria" w:hAnsi="Cambria"/>
          <w:smallCaps/>
          <w:sz w:val="28"/>
          <w:u w:val="single"/>
        </w:rPr>
      </w:pPr>
    </w:p>
    <w:p w:rsidR="00415A27" w:rsidRDefault="00415A27" w:rsidP="008014DC">
      <w:pPr>
        <w:spacing w:line="360" w:lineRule="auto"/>
        <w:jc w:val="center"/>
        <w:rPr>
          <w:rFonts w:ascii="Cambria" w:hAnsi="Cambria"/>
          <w:b/>
          <w:smallCaps/>
          <w:sz w:val="36"/>
          <w:u w:val="single"/>
        </w:rPr>
      </w:pPr>
    </w:p>
    <w:p w:rsidR="0054013F" w:rsidRPr="00521EA6" w:rsidRDefault="008014DC" w:rsidP="008014DC">
      <w:pPr>
        <w:spacing w:line="360" w:lineRule="auto"/>
        <w:jc w:val="center"/>
        <w:rPr>
          <w:rFonts w:ascii="Cambria" w:hAnsi="Cambria"/>
          <w:b/>
          <w:smallCaps/>
          <w:sz w:val="36"/>
          <w:u w:val="single"/>
        </w:rPr>
      </w:pPr>
      <w:r w:rsidRPr="00521EA6">
        <w:rPr>
          <w:rFonts w:ascii="Cambria" w:hAnsi="Cambria"/>
          <w:b/>
          <w:smallCaps/>
          <w:sz w:val="36"/>
          <w:u w:val="single"/>
        </w:rPr>
        <w:t xml:space="preserve">Neuroeconomics: </w:t>
      </w:r>
      <w:r w:rsidR="007B1531" w:rsidRPr="00521EA6">
        <w:rPr>
          <w:rFonts w:ascii="Cambria" w:hAnsi="Cambria"/>
          <w:b/>
          <w:smallCaps/>
          <w:sz w:val="36"/>
          <w:u w:val="single"/>
        </w:rPr>
        <w:t>A New Understanding of Taxation</w:t>
      </w:r>
    </w:p>
    <w:p w:rsidR="00415A27" w:rsidRDefault="00415A27" w:rsidP="00991752">
      <w:pPr>
        <w:jc w:val="center"/>
        <w:rPr>
          <w:rFonts w:ascii="Cambria" w:hAnsi="Cambria"/>
          <w:smallCaps/>
          <w:sz w:val="32"/>
        </w:rPr>
      </w:pPr>
    </w:p>
    <w:p w:rsidR="004261A9" w:rsidRPr="004261A9" w:rsidRDefault="0054013F" w:rsidP="00991752">
      <w:pPr>
        <w:jc w:val="center"/>
        <w:rPr>
          <w:rFonts w:ascii="Cambria" w:hAnsi="Cambria"/>
          <w:smallCaps/>
          <w:sz w:val="32"/>
        </w:rPr>
      </w:pPr>
      <w:r w:rsidRPr="004261A9">
        <w:rPr>
          <w:rFonts w:ascii="Cambria" w:hAnsi="Cambria"/>
          <w:smallCaps/>
          <w:sz w:val="32"/>
        </w:rPr>
        <w:t xml:space="preserve">To what extent can the study of Neuroeconomics explain </w:t>
      </w:r>
      <w:r w:rsidR="00CE4B05" w:rsidRPr="004261A9">
        <w:rPr>
          <w:rFonts w:ascii="Cambria" w:hAnsi="Cambria"/>
          <w:smallCaps/>
          <w:sz w:val="32"/>
        </w:rPr>
        <w:t xml:space="preserve">past and future </w:t>
      </w:r>
      <w:r w:rsidRPr="004261A9">
        <w:rPr>
          <w:rFonts w:ascii="Cambria" w:hAnsi="Cambria"/>
          <w:smallCaps/>
          <w:sz w:val="32"/>
        </w:rPr>
        <w:t xml:space="preserve">patterns of tax </w:t>
      </w:r>
      <w:r w:rsidR="00CE4B05" w:rsidRPr="004261A9">
        <w:rPr>
          <w:rFonts w:ascii="Cambria" w:hAnsi="Cambria"/>
          <w:smallCaps/>
          <w:sz w:val="32"/>
        </w:rPr>
        <w:t xml:space="preserve">compliance in </w:t>
      </w:r>
      <w:r w:rsidR="00736D5F" w:rsidRPr="004261A9">
        <w:rPr>
          <w:rFonts w:ascii="Cambria" w:hAnsi="Cambria"/>
          <w:smallCaps/>
          <w:sz w:val="32"/>
        </w:rPr>
        <w:t>Egypt</w:t>
      </w:r>
      <w:r w:rsidR="00CE4B05" w:rsidRPr="004261A9">
        <w:rPr>
          <w:rFonts w:ascii="Cambria" w:hAnsi="Cambria"/>
          <w:smallCaps/>
          <w:sz w:val="32"/>
        </w:rPr>
        <w:t>?</w:t>
      </w:r>
    </w:p>
    <w:p w:rsidR="00125B77" w:rsidRDefault="00125B77" w:rsidP="004261A9">
      <w:pPr>
        <w:spacing w:after="0" w:line="360" w:lineRule="auto"/>
        <w:jc w:val="both"/>
        <w:rPr>
          <w:rFonts w:ascii="Cambria" w:hAnsi="Cambria"/>
        </w:rPr>
      </w:pPr>
    </w:p>
    <w:p w:rsidR="00125B77" w:rsidRDefault="00125B77" w:rsidP="00991752">
      <w:pPr>
        <w:spacing w:after="0" w:line="360" w:lineRule="auto"/>
        <w:ind w:firstLine="720"/>
        <w:jc w:val="both"/>
        <w:rPr>
          <w:rFonts w:ascii="Cambria" w:hAnsi="Cambria"/>
        </w:rPr>
      </w:pPr>
    </w:p>
    <w:p w:rsidR="00125B77" w:rsidRDefault="00125B77" w:rsidP="00991752">
      <w:pPr>
        <w:spacing w:after="0" w:line="360" w:lineRule="auto"/>
        <w:ind w:firstLine="720"/>
        <w:jc w:val="both"/>
        <w:rPr>
          <w:rFonts w:ascii="Cambria" w:hAnsi="Cambria"/>
        </w:rPr>
      </w:pPr>
    </w:p>
    <w:p w:rsidR="00125B77" w:rsidRDefault="00125B77" w:rsidP="00991752">
      <w:pPr>
        <w:spacing w:after="0" w:line="360" w:lineRule="auto"/>
        <w:ind w:firstLine="720"/>
        <w:jc w:val="both"/>
        <w:rPr>
          <w:rFonts w:ascii="Cambria" w:hAnsi="Cambria"/>
        </w:rPr>
      </w:pPr>
    </w:p>
    <w:p w:rsidR="00125B77" w:rsidRDefault="00125B77" w:rsidP="00991752">
      <w:pPr>
        <w:spacing w:after="0" w:line="360" w:lineRule="auto"/>
        <w:ind w:firstLine="720"/>
        <w:jc w:val="both"/>
        <w:rPr>
          <w:rFonts w:ascii="Cambria" w:hAnsi="Cambria"/>
        </w:rPr>
      </w:pPr>
    </w:p>
    <w:p w:rsidR="00125B77" w:rsidRDefault="00125B77" w:rsidP="00991752">
      <w:pPr>
        <w:spacing w:after="0" w:line="360" w:lineRule="auto"/>
        <w:ind w:firstLine="720"/>
        <w:jc w:val="both"/>
        <w:rPr>
          <w:rFonts w:ascii="Cambria" w:hAnsi="Cambria"/>
        </w:rPr>
      </w:pPr>
    </w:p>
    <w:p w:rsidR="00125B77" w:rsidRDefault="00125B77" w:rsidP="00991752">
      <w:pPr>
        <w:spacing w:after="0" w:line="360" w:lineRule="auto"/>
        <w:ind w:firstLine="720"/>
        <w:jc w:val="both"/>
        <w:rPr>
          <w:rFonts w:ascii="Cambria" w:hAnsi="Cambria"/>
        </w:rPr>
      </w:pPr>
    </w:p>
    <w:p w:rsidR="00125B77" w:rsidRPr="00125B77" w:rsidRDefault="00125B77" w:rsidP="00125B77">
      <w:pPr>
        <w:spacing w:after="0" w:line="360" w:lineRule="auto"/>
        <w:ind w:firstLine="720"/>
        <w:jc w:val="center"/>
        <w:rPr>
          <w:rFonts w:ascii="Cambria" w:hAnsi="Cambria"/>
          <w:smallCaps/>
        </w:rPr>
      </w:pPr>
      <w:r w:rsidRPr="00125B77">
        <w:rPr>
          <w:rFonts w:ascii="Cambria" w:hAnsi="Cambria"/>
          <w:smallCaps/>
        </w:rPr>
        <w:t>Yosra Bedair Metwally</w:t>
      </w:r>
    </w:p>
    <w:p w:rsidR="00125B77" w:rsidRDefault="00125B77" w:rsidP="00125B77">
      <w:pPr>
        <w:spacing w:after="0" w:line="360" w:lineRule="auto"/>
        <w:ind w:firstLine="720"/>
        <w:jc w:val="center"/>
        <w:rPr>
          <w:rFonts w:ascii="Cambria" w:hAnsi="Cambria"/>
          <w:smallCaps/>
        </w:rPr>
      </w:pPr>
      <w:r w:rsidRPr="00125B77">
        <w:rPr>
          <w:rFonts w:ascii="Cambria" w:hAnsi="Cambria"/>
          <w:smallCaps/>
        </w:rPr>
        <w:t>900-07-1763</w:t>
      </w: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261A9" w:rsidRDefault="004261A9" w:rsidP="00125B77">
      <w:pPr>
        <w:spacing w:after="0" w:line="360" w:lineRule="auto"/>
        <w:ind w:firstLine="720"/>
        <w:jc w:val="center"/>
        <w:rPr>
          <w:rFonts w:ascii="Cambria" w:hAnsi="Cambria"/>
          <w:smallCaps/>
        </w:rPr>
      </w:pPr>
    </w:p>
    <w:p w:rsidR="00415A27" w:rsidRDefault="00415A27" w:rsidP="004261A9">
      <w:pPr>
        <w:jc w:val="center"/>
        <w:rPr>
          <w:rFonts w:ascii="Cambria" w:eastAsia="Times New Roman" w:hAnsi="Cambria" w:cs="Times New Roman"/>
          <w:caps/>
        </w:rPr>
      </w:pPr>
    </w:p>
    <w:p w:rsidR="00415A27" w:rsidRDefault="00415A27" w:rsidP="004261A9">
      <w:pPr>
        <w:jc w:val="center"/>
        <w:rPr>
          <w:rFonts w:ascii="Cambria" w:eastAsia="Times New Roman" w:hAnsi="Cambria" w:cs="Times New Roman"/>
          <w:caps/>
        </w:rPr>
      </w:pPr>
    </w:p>
    <w:p w:rsidR="00A62E72" w:rsidRDefault="00A62E72" w:rsidP="00991752">
      <w:pPr>
        <w:spacing w:after="0" w:line="360" w:lineRule="auto"/>
        <w:ind w:firstLine="720"/>
        <w:jc w:val="both"/>
        <w:rPr>
          <w:rFonts w:ascii="Cambria" w:eastAsia="Times New Roman" w:hAnsi="Cambria" w:cs="Times New Roman"/>
          <w:smallCaps/>
        </w:rPr>
      </w:pPr>
    </w:p>
    <w:p w:rsidR="00A62E72" w:rsidRDefault="00A62E72" w:rsidP="00991752">
      <w:pPr>
        <w:spacing w:after="0" w:line="360" w:lineRule="auto"/>
        <w:ind w:firstLine="720"/>
        <w:jc w:val="both"/>
        <w:rPr>
          <w:rFonts w:ascii="Cambria" w:eastAsia="Times New Roman" w:hAnsi="Cambria" w:cs="Times New Roman"/>
          <w:smallCaps/>
        </w:rPr>
      </w:pPr>
    </w:p>
    <w:p w:rsidR="00125B77" w:rsidRDefault="00125B77" w:rsidP="00991752">
      <w:pPr>
        <w:spacing w:after="0" w:line="360" w:lineRule="auto"/>
        <w:ind w:firstLine="720"/>
        <w:jc w:val="both"/>
        <w:rPr>
          <w:rFonts w:ascii="Cambria" w:hAnsi="Cambria"/>
        </w:rPr>
      </w:pPr>
    </w:p>
    <w:p w:rsidR="009E07F0" w:rsidRPr="004261A9" w:rsidRDefault="00B94CB9" w:rsidP="00991752">
      <w:pPr>
        <w:spacing w:after="0" w:line="360" w:lineRule="auto"/>
        <w:ind w:firstLine="720"/>
        <w:jc w:val="both"/>
        <w:rPr>
          <w:rFonts w:ascii="Times New Roman" w:hAnsi="Times New Roman"/>
        </w:rPr>
      </w:pPr>
      <w:r w:rsidRPr="004261A9">
        <w:rPr>
          <w:rFonts w:ascii="Times New Roman" w:hAnsi="Times New Roman"/>
        </w:rPr>
        <w:lastRenderedPageBreak/>
        <w:t>One of</w:t>
      </w:r>
      <w:r w:rsidR="00C025A3" w:rsidRPr="004261A9">
        <w:rPr>
          <w:rFonts w:ascii="Times New Roman" w:hAnsi="Times New Roman"/>
        </w:rPr>
        <w:t xml:space="preserve"> the most recent development</w:t>
      </w:r>
      <w:r w:rsidR="00C73884" w:rsidRPr="004261A9">
        <w:rPr>
          <w:rFonts w:ascii="Times New Roman" w:hAnsi="Times New Roman"/>
        </w:rPr>
        <w:t>s</w:t>
      </w:r>
      <w:r w:rsidR="00C025A3" w:rsidRPr="004261A9">
        <w:rPr>
          <w:rFonts w:ascii="Times New Roman" w:hAnsi="Times New Roman"/>
        </w:rPr>
        <w:t xml:space="preserve"> in the study of Economics is its intersection with neuroscience in the emerging </w:t>
      </w:r>
      <w:r w:rsidR="00E64378" w:rsidRPr="004261A9">
        <w:rPr>
          <w:rFonts w:ascii="Times New Roman" w:hAnsi="Times New Roman"/>
        </w:rPr>
        <w:t>discipline</w:t>
      </w:r>
      <w:r w:rsidR="00C025A3" w:rsidRPr="004261A9">
        <w:rPr>
          <w:rFonts w:ascii="Times New Roman" w:hAnsi="Times New Roman"/>
        </w:rPr>
        <w:t xml:space="preserve"> called "Neur</w:t>
      </w:r>
      <w:r w:rsidR="00EB7A8F" w:rsidRPr="004261A9">
        <w:rPr>
          <w:rFonts w:ascii="Times New Roman" w:hAnsi="Times New Roman"/>
        </w:rPr>
        <w:t xml:space="preserve">oeconomics". For many </w:t>
      </w:r>
      <w:r w:rsidR="00C025A3" w:rsidRPr="004261A9">
        <w:rPr>
          <w:rFonts w:ascii="Times New Roman" w:hAnsi="Times New Roman"/>
        </w:rPr>
        <w:t>centurie</w:t>
      </w:r>
      <w:r w:rsidR="00EB7A8F" w:rsidRPr="004261A9">
        <w:rPr>
          <w:rFonts w:ascii="Times New Roman" w:hAnsi="Times New Roman"/>
        </w:rPr>
        <w:t>s, economists have been explain</w:t>
      </w:r>
      <w:r w:rsidR="00C025A3" w:rsidRPr="004261A9">
        <w:rPr>
          <w:rFonts w:ascii="Times New Roman" w:hAnsi="Times New Roman"/>
        </w:rPr>
        <w:t>ing decision-making</w:t>
      </w:r>
      <w:r w:rsidR="00EB7A8F" w:rsidRPr="004261A9">
        <w:rPr>
          <w:rFonts w:ascii="Times New Roman" w:hAnsi="Times New Roman"/>
        </w:rPr>
        <w:t xml:space="preserve"> and behavior of "agents" through the concepts of utility maximization, preferences, prices and budget constraint. </w:t>
      </w:r>
      <w:r w:rsidR="00453381" w:rsidRPr="004261A9">
        <w:rPr>
          <w:rFonts w:ascii="Times New Roman" w:hAnsi="Times New Roman"/>
        </w:rPr>
        <w:t xml:space="preserve">In short, </w:t>
      </w:r>
      <w:r w:rsidRPr="004261A9">
        <w:rPr>
          <w:rFonts w:ascii="Times New Roman" w:hAnsi="Times New Roman"/>
        </w:rPr>
        <w:t>the c</w:t>
      </w:r>
      <w:r w:rsidR="002308DE" w:rsidRPr="004261A9">
        <w:rPr>
          <w:rFonts w:ascii="Times New Roman" w:hAnsi="Times New Roman"/>
        </w:rPr>
        <w:t xml:space="preserve">lassical </w:t>
      </w:r>
      <w:r w:rsidR="00453381" w:rsidRPr="004261A9">
        <w:rPr>
          <w:rFonts w:ascii="Times New Roman" w:hAnsi="Times New Roman"/>
        </w:rPr>
        <w:t xml:space="preserve">individual </w:t>
      </w:r>
      <w:r w:rsidR="002308DE" w:rsidRPr="004261A9">
        <w:rPr>
          <w:rFonts w:ascii="Times New Roman" w:hAnsi="Times New Roman"/>
        </w:rPr>
        <w:t>“homo economicus</w:t>
      </w:r>
      <w:r w:rsidR="009B1E4D" w:rsidRPr="004261A9">
        <w:rPr>
          <w:rStyle w:val="FootnoteReference"/>
          <w:rFonts w:ascii="Times New Roman" w:hAnsi="Times New Roman"/>
        </w:rPr>
        <w:footnoteReference w:id="1"/>
      </w:r>
      <w:r w:rsidR="002308DE" w:rsidRPr="004261A9">
        <w:rPr>
          <w:rFonts w:ascii="Times New Roman" w:hAnsi="Times New Roman"/>
        </w:rPr>
        <w:t xml:space="preserve">” </w:t>
      </w:r>
      <w:r w:rsidR="00453381" w:rsidRPr="004261A9">
        <w:rPr>
          <w:rFonts w:ascii="Times New Roman" w:hAnsi="Times New Roman"/>
        </w:rPr>
        <w:t xml:space="preserve">is believed to be rational, self-motivated and </w:t>
      </w:r>
      <w:r w:rsidR="00255774" w:rsidRPr="004261A9">
        <w:rPr>
          <w:rFonts w:ascii="Times New Roman" w:hAnsi="Times New Roman"/>
        </w:rPr>
        <w:t xml:space="preserve">merely </w:t>
      </w:r>
      <w:r w:rsidR="002308DE" w:rsidRPr="004261A9">
        <w:rPr>
          <w:rFonts w:ascii="Times New Roman" w:hAnsi="Times New Roman"/>
        </w:rPr>
        <w:t xml:space="preserve">interested in </w:t>
      </w:r>
      <w:r w:rsidR="00453381" w:rsidRPr="004261A9">
        <w:rPr>
          <w:rFonts w:ascii="Times New Roman" w:hAnsi="Times New Roman"/>
        </w:rPr>
        <w:t xml:space="preserve">the maximization of his own welfare (utility). </w:t>
      </w:r>
      <w:r w:rsidR="008A1EBF" w:rsidRPr="004261A9">
        <w:rPr>
          <w:rFonts w:ascii="Times New Roman" w:hAnsi="Times New Roman"/>
        </w:rPr>
        <w:t xml:space="preserve">Accordingly, emotions involved in the decision-making process were disregarded. </w:t>
      </w:r>
      <w:r w:rsidR="001E4292" w:rsidRPr="004261A9">
        <w:rPr>
          <w:rFonts w:ascii="Times New Roman" w:hAnsi="Times New Roman"/>
        </w:rPr>
        <w:t>Yet</w:t>
      </w:r>
      <w:r w:rsidRPr="004261A9">
        <w:rPr>
          <w:rFonts w:ascii="Times New Roman" w:hAnsi="Times New Roman"/>
        </w:rPr>
        <w:t>, the applicability of c</w:t>
      </w:r>
      <w:r w:rsidR="008A1EBF" w:rsidRPr="004261A9">
        <w:rPr>
          <w:rFonts w:ascii="Times New Roman" w:hAnsi="Times New Roman"/>
        </w:rPr>
        <w:t xml:space="preserve">lassical economic theories was increasingly being questioned, giving rise to a new approach more concerned with </w:t>
      </w:r>
      <w:r w:rsidR="004E23FA" w:rsidRPr="004261A9">
        <w:rPr>
          <w:rFonts w:ascii="Times New Roman" w:hAnsi="Times New Roman"/>
        </w:rPr>
        <w:t>“asking the brain, not the person</w:t>
      </w:r>
      <w:r w:rsidR="004E23FA" w:rsidRPr="004261A9">
        <w:rPr>
          <w:rStyle w:val="FootnoteReference"/>
          <w:rFonts w:ascii="Times New Roman" w:hAnsi="Times New Roman"/>
        </w:rPr>
        <w:footnoteReference w:id="2"/>
      </w:r>
      <w:r w:rsidR="004E23FA" w:rsidRPr="004261A9">
        <w:rPr>
          <w:rFonts w:ascii="Times New Roman" w:hAnsi="Times New Roman"/>
        </w:rPr>
        <w:t>”</w:t>
      </w:r>
      <w:r w:rsidR="007B1531" w:rsidRPr="004261A9">
        <w:rPr>
          <w:rFonts w:ascii="Times New Roman" w:hAnsi="Times New Roman"/>
        </w:rPr>
        <w:t>. Technol</w:t>
      </w:r>
      <w:r w:rsidR="00C73884" w:rsidRPr="004261A9">
        <w:rPr>
          <w:rFonts w:ascii="Times New Roman" w:hAnsi="Times New Roman"/>
        </w:rPr>
        <w:t xml:space="preserve">ogical breakthroughs in biology </w:t>
      </w:r>
      <w:r w:rsidR="00523C22" w:rsidRPr="004261A9">
        <w:rPr>
          <w:rFonts w:ascii="Times New Roman" w:hAnsi="Times New Roman"/>
        </w:rPr>
        <w:t>and neuroscience have</w:t>
      </w:r>
      <w:r w:rsidR="00103B93" w:rsidRPr="004261A9">
        <w:rPr>
          <w:rFonts w:ascii="Times New Roman" w:hAnsi="Times New Roman"/>
        </w:rPr>
        <w:t xml:space="preserve"> enabled</w:t>
      </w:r>
      <w:r w:rsidR="00523C22" w:rsidRPr="004261A9">
        <w:rPr>
          <w:rFonts w:ascii="Times New Roman" w:hAnsi="Times New Roman"/>
        </w:rPr>
        <w:t xml:space="preserve"> the </w:t>
      </w:r>
      <w:r w:rsidR="00AE18E1" w:rsidRPr="004261A9">
        <w:rPr>
          <w:rFonts w:ascii="Times New Roman" w:hAnsi="Times New Roman"/>
        </w:rPr>
        <w:t>quantification of satisfaction and pain</w:t>
      </w:r>
      <w:r w:rsidR="00523C22" w:rsidRPr="004261A9">
        <w:rPr>
          <w:rFonts w:ascii="Times New Roman" w:hAnsi="Times New Roman"/>
        </w:rPr>
        <w:t xml:space="preserve">. </w:t>
      </w:r>
      <w:r w:rsidR="008B1F97" w:rsidRPr="004261A9">
        <w:rPr>
          <w:rFonts w:ascii="Times New Roman" w:hAnsi="Times New Roman"/>
        </w:rPr>
        <w:t xml:space="preserve">Neuroeconomic research has succeeded in identifying circuits within the brain, which are activated during particular tasks. Once </w:t>
      </w:r>
      <w:r w:rsidR="00140F71" w:rsidRPr="004261A9">
        <w:rPr>
          <w:rFonts w:ascii="Times New Roman" w:hAnsi="Times New Roman"/>
        </w:rPr>
        <w:t>activated</w:t>
      </w:r>
      <w:r w:rsidR="008B1F97" w:rsidRPr="004261A9">
        <w:rPr>
          <w:rFonts w:ascii="Times New Roman" w:hAnsi="Times New Roman"/>
        </w:rPr>
        <w:t>, these circuits are r</w:t>
      </w:r>
      <w:r w:rsidR="00A62E72">
        <w:rPr>
          <w:rFonts w:ascii="Times New Roman" w:hAnsi="Times New Roman"/>
        </w:rPr>
        <w:t>esponsible for valuing outcomes and estimating risk and return</w:t>
      </w:r>
      <w:r w:rsidR="00140F71" w:rsidRPr="004261A9">
        <w:rPr>
          <w:rFonts w:ascii="Times New Roman" w:hAnsi="Times New Roman"/>
        </w:rPr>
        <w:t>, resulting either in the pursuit of that task or its rejection.</w:t>
      </w:r>
      <w:r w:rsidR="008B1F97" w:rsidRPr="004261A9">
        <w:rPr>
          <w:rFonts w:ascii="Times New Roman" w:hAnsi="Times New Roman"/>
        </w:rPr>
        <w:t xml:space="preserve"> </w:t>
      </w:r>
      <w:r w:rsidR="002A5CBF" w:rsidRPr="004261A9">
        <w:rPr>
          <w:rFonts w:ascii="Times New Roman" w:hAnsi="Times New Roman"/>
        </w:rPr>
        <w:t>By recording single neur</w:t>
      </w:r>
      <w:r w:rsidR="00C409BE" w:rsidRPr="004261A9">
        <w:rPr>
          <w:rFonts w:ascii="Times New Roman" w:hAnsi="Times New Roman"/>
        </w:rPr>
        <w:t>on activity and observing cogni</w:t>
      </w:r>
      <w:r w:rsidR="00A62E72">
        <w:rPr>
          <w:rFonts w:ascii="Times New Roman" w:hAnsi="Times New Roman"/>
        </w:rPr>
        <w:t>tive trends</w:t>
      </w:r>
      <w:r w:rsidR="001953A7" w:rsidRPr="004261A9">
        <w:rPr>
          <w:rFonts w:ascii="Times New Roman" w:hAnsi="Times New Roman"/>
        </w:rPr>
        <w:t>, n</w:t>
      </w:r>
      <w:r w:rsidR="002A5CBF" w:rsidRPr="004261A9">
        <w:rPr>
          <w:rFonts w:ascii="Times New Roman" w:hAnsi="Times New Roman"/>
        </w:rPr>
        <w:t xml:space="preserve">euroeconomics has </w:t>
      </w:r>
      <w:r w:rsidR="00C409BE" w:rsidRPr="004261A9">
        <w:rPr>
          <w:rFonts w:ascii="Times New Roman" w:hAnsi="Times New Roman"/>
        </w:rPr>
        <w:t>illuminated the study of economics in many aspects, the most important of which i</w:t>
      </w:r>
      <w:r w:rsidR="00523C22" w:rsidRPr="004261A9">
        <w:rPr>
          <w:rFonts w:ascii="Times New Roman" w:hAnsi="Times New Roman"/>
        </w:rPr>
        <w:t xml:space="preserve">s that of taxation. </w:t>
      </w:r>
      <w:r w:rsidR="00F90400" w:rsidRPr="004261A9">
        <w:rPr>
          <w:rFonts w:ascii="Times New Roman" w:hAnsi="Times New Roman"/>
        </w:rPr>
        <w:t xml:space="preserve">The focus of this paper is to explain trends in tax compliance in Egypt </w:t>
      </w:r>
      <w:r w:rsidR="00DB0C5C" w:rsidRPr="004261A9">
        <w:rPr>
          <w:rFonts w:ascii="Times New Roman" w:hAnsi="Times New Roman"/>
        </w:rPr>
        <w:t>in light of</w:t>
      </w:r>
      <w:r w:rsidR="00F90400" w:rsidRPr="004261A9">
        <w:rPr>
          <w:rFonts w:ascii="Times New Roman" w:hAnsi="Times New Roman"/>
        </w:rPr>
        <w:t xml:space="preserve"> the new tax policies </w:t>
      </w:r>
      <w:r w:rsidR="00DB0C5C" w:rsidRPr="004261A9">
        <w:rPr>
          <w:rFonts w:ascii="Times New Roman" w:hAnsi="Times New Roman"/>
        </w:rPr>
        <w:t>of</w:t>
      </w:r>
      <w:r w:rsidR="00F90400" w:rsidRPr="004261A9">
        <w:rPr>
          <w:rFonts w:ascii="Times New Roman" w:hAnsi="Times New Roman"/>
        </w:rPr>
        <w:t xml:space="preserve"> 2005 </w:t>
      </w:r>
      <w:r w:rsidR="00B9398E" w:rsidRPr="004261A9">
        <w:rPr>
          <w:rFonts w:ascii="Times New Roman" w:hAnsi="Times New Roman"/>
        </w:rPr>
        <w:t>under</w:t>
      </w:r>
      <w:r w:rsidR="00F90400" w:rsidRPr="004261A9">
        <w:rPr>
          <w:rFonts w:ascii="Times New Roman" w:hAnsi="Times New Roman"/>
        </w:rPr>
        <w:t xml:space="preserve"> a neuroeconomic lens. In addition, the paper will provide expectations about the futur</w:t>
      </w:r>
      <w:r w:rsidR="00DB0C5C" w:rsidRPr="004261A9">
        <w:rPr>
          <w:rFonts w:ascii="Times New Roman" w:hAnsi="Times New Roman"/>
        </w:rPr>
        <w:t>e of tax compliance in the post- revolution</w:t>
      </w:r>
      <w:r w:rsidR="00F90400" w:rsidRPr="004261A9">
        <w:rPr>
          <w:rFonts w:ascii="Times New Roman" w:hAnsi="Times New Roman"/>
        </w:rPr>
        <w:t xml:space="preserve"> Egypt. </w:t>
      </w:r>
    </w:p>
    <w:p w:rsidR="00406A61" w:rsidRPr="004261A9" w:rsidRDefault="00F8056D" w:rsidP="00C73884">
      <w:pPr>
        <w:spacing w:after="0" w:line="360" w:lineRule="auto"/>
        <w:ind w:firstLine="720"/>
        <w:jc w:val="both"/>
        <w:rPr>
          <w:rFonts w:ascii="Times New Roman" w:hAnsi="Times New Roman"/>
        </w:rPr>
      </w:pPr>
      <w:r w:rsidRPr="004261A9">
        <w:rPr>
          <w:rFonts w:ascii="Times New Roman" w:hAnsi="Times New Roman"/>
        </w:rPr>
        <w:t>Forms of tax evasion have changed</w:t>
      </w:r>
      <w:r w:rsidR="00DB0C5C" w:rsidRPr="004261A9">
        <w:rPr>
          <w:rFonts w:ascii="Times New Roman" w:hAnsi="Times New Roman"/>
        </w:rPr>
        <w:t xml:space="preserve"> over the </w:t>
      </w:r>
      <w:r w:rsidR="00C620F8" w:rsidRPr="004261A9">
        <w:rPr>
          <w:rFonts w:ascii="Times New Roman" w:hAnsi="Times New Roman"/>
        </w:rPr>
        <w:t>centuries</w:t>
      </w:r>
      <w:r w:rsidR="00DB0C5C" w:rsidRPr="004261A9">
        <w:rPr>
          <w:rFonts w:ascii="Times New Roman" w:hAnsi="Times New Roman"/>
        </w:rPr>
        <w:t xml:space="preserve"> </w:t>
      </w:r>
      <w:r w:rsidR="00C73884" w:rsidRPr="004261A9">
        <w:rPr>
          <w:rFonts w:ascii="Times New Roman" w:hAnsi="Times New Roman"/>
        </w:rPr>
        <w:t>but</w:t>
      </w:r>
      <w:r w:rsidR="00D93657" w:rsidRPr="004261A9">
        <w:rPr>
          <w:rFonts w:ascii="Times New Roman" w:hAnsi="Times New Roman"/>
        </w:rPr>
        <w:t xml:space="preserve"> the outcome</w:t>
      </w:r>
      <w:r w:rsidR="002B5636" w:rsidRPr="004261A9">
        <w:rPr>
          <w:rFonts w:ascii="Times New Roman" w:hAnsi="Times New Roman"/>
        </w:rPr>
        <w:t xml:space="preserve"> remains the same: a</w:t>
      </w:r>
      <w:r w:rsidRPr="004261A9">
        <w:rPr>
          <w:rFonts w:ascii="Times New Roman" w:hAnsi="Times New Roman"/>
        </w:rPr>
        <w:t xml:space="preserve"> considerable </w:t>
      </w:r>
      <w:r w:rsidR="00D93657" w:rsidRPr="004261A9">
        <w:rPr>
          <w:rFonts w:ascii="Times New Roman" w:hAnsi="Times New Roman"/>
        </w:rPr>
        <w:t>l</w:t>
      </w:r>
      <w:r w:rsidR="002B5636" w:rsidRPr="004261A9">
        <w:rPr>
          <w:rFonts w:ascii="Times New Roman" w:hAnsi="Times New Roman"/>
        </w:rPr>
        <w:t xml:space="preserve">eakage in government revenues. </w:t>
      </w:r>
      <w:r w:rsidR="0028196E" w:rsidRPr="004261A9">
        <w:rPr>
          <w:rFonts w:ascii="Times New Roman" w:hAnsi="Times New Roman"/>
        </w:rPr>
        <w:t xml:space="preserve">A narrow economic approach to tax evasion would conclude that most </w:t>
      </w:r>
      <w:r w:rsidR="00E727CC" w:rsidRPr="004261A9">
        <w:rPr>
          <w:rFonts w:ascii="Times New Roman" w:hAnsi="Times New Roman"/>
        </w:rPr>
        <w:t xml:space="preserve">“rational” </w:t>
      </w:r>
      <w:r w:rsidR="0028196E" w:rsidRPr="004261A9">
        <w:rPr>
          <w:rFonts w:ascii="Times New Roman" w:hAnsi="Times New Roman"/>
        </w:rPr>
        <w:t xml:space="preserve">individuals would not comply </w:t>
      </w:r>
      <w:r w:rsidR="00B94CB9" w:rsidRPr="004261A9">
        <w:rPr>
          <w:rFonts w:ascii="Times New Roman" w:hAnsi="Times New Roman"/>
        </w:rPr>
        <w:t>with</w:t>
      </w:r>
      <w:r w:rsidR="0028196E" w:rsidRPr="004261A9">
        <w:rPr>
          <w:rFonts w:ascii="Times New Roman" w:hAnsi="Times New Roman"/>
        </w:rPr>
        <w:t xml:space="preserve"> tax policies </w:t>
      </w:r>
      <w:r w:rsidR="00E727CC" w:rsidRPr="004261A9">
        <w:rPr>
          <w:rFonts w:ascii="Times New Roman" w:hAnsi="Times New Roman"/>
        </w:rPr>
        <w:t>due to the low probability of audit and penalization. A study of tax gap</w:t>
      </w:r>
      <w:r w:rsidR="00C73884" w:rsidRPr="004261A9">
        <w:rPr>
          <w:rFonts w:ascii="Times New Roman" w:hAnsi="Times New Roman"/>
        </w:rPr>
        <w:t>s</w:t>
      </w:r>
      <w:r w:rsidR="00E727CC" w:rsidRPr="004261A9">
        <w:rPr>
          <w:rStyle w:val="FootnoteReference"/>
          <w:rFonts w:ascii="Times New Roman" w:hAnsi="Times New Roman"/>
        </w:rPr>
        <w:footnoteReference w:id="3"/>
      </w:r>
      <w:r w:rsidR="00823108" w:rsidRPr="004261A9">
        <w:rPr>
          <w:rFonts w:ascii="Times New Roman" w:hAnsi="Times New Roman"/>
        </w:rPr>
        <w:t xml:space="preserve"> and audit rates</w:t>
      </w:r>
      <w:r w:rsidR="00E727CC" w:rsidRPr="004261A9">
        <w:rPr>
          <w:rFonts w:ascii="Times New Roman" w:hAnsi="Times New Roman"/>
        </w:rPr>
        <w:t xml:space="preserve"> across countries </w:t>
      </w:r>
      <w:r w:rsidR="00823108" w:rsidRPr="004261A9">
        <w:rPr>
          <w:rFonts w:ascii="Times New Roman" w:hAnsi="Times New Roman"/>
        </w:rPr>
        <w:t xml:space="preserve">reveals results that are inconsistent with this narrow analysis.  </w:t>
      </w:r>
      <w:r w:rsidR="00B9398E" w:rsidRPr="004261A9">
        <w:rPr>
          <w:rFonts w:ascii="Times New Roman" w:hAnsi="Times New Roman"/>
        </w:rPr>
        <w:t>Explaining the</w:t>
      </w:r>
      <w:r w:rsidR="00581EE9" w:rsidRPr="004261A9">
        <w:rPr>
          <w:rFonts w:ascii="Times New Roman" w:hAnsi="Times New Roman"/>
        </w:rPr>
        <w:t xml:space="preserve"> phenomenon of tax evasion requires therefore a </w:t>
      </w:r>
      <w:r w:rsidR="00DB0C5C" w:rsidRPr="004261A9">
        <w:rPr>
          <w:rFonts w:ascii="Times New Roman" w:hAnsi="Times New Roman"/>
        </w:rPr>
        <w:t>multi</w:t>
      </w:r>
      <w:r w:rsidR="00581EE9" w:rsidRPr="004261A9">
        <w:rPr>
          <w:rFonts w:ascii="Times New Roman" w:hAnsi="Times New Roman"/>
        </w:rPr>
        <w:t xml:space="preserve">-disciplinary approach </w:t>
      </w:r>
      <w:r w:rsidR="00C73884" w:rsidRPr="004261A9">
        <w:rPr>
          <w:rFonts w:ascii="Times New Roman" w:hAnsi="Times New Roman"/>
        </w:rPr>
        <w:t>combining Economics, Sociology</w:t>
      </w:r>
      <w:r w:rsidR="00581EE9" w:rsidRPr="004261A9">
        <w:rPr>
          <w:rFonts w:ascii="Times New Roman" w:hAnsi="Times New Roman"/>
        </w:rPr>
        <w:t xml:space="preserve">, Neuroscience and Psychology. </w:t>
      </w:r>
    </w:p>
    <w:p w:rsidR="00C73884" w:rsidRPr="004261A9" w:rsidRDefault="00406A61" w:rsidP="008A40E6">
      <w:pPr>
        <w:spacing w:after="100" w:line="360" w:lineRule="auto"/>
        <w:ind w:firstLine="720"/>
        <w:jc w:val="both"/>
        <w:rPr>
          <w:rFonts w:ascii="Times New Roman" w:hAnsi="Times New Roman"/>
          <w:i/>
        </w:rPr>
      </w:pPr>
      <w:r w:rsidRPr="004261A9">
        <w:rPr>
          <w:rFonts w:ascii="Times New Roman" w:hAnsi="Times New Roman"/>
        </w:rPr>
        <w:t xml:space="preserve">Before further investigating the behavioral trends in terms of taxation, </w:t>
      </w:r>
      <w:r w:rsidR="00672650" w:rsidRPr="004261A9">
        <w:rPr>
          <w:rFonts w:ascii="Times New Roman" w:hAnsi="Times New Roman"/>
        </w:rPr>
        <w:t>the 2005</w:t>
      </w:r>
      <w:r w:rsidRPr="004261A9">
        <w:rPr>
          <w:rFonts w:ascii="Times New Roman" w:hAnsi="Times New Roman"/>
        </w:rPr>
        <w:t xml:space="preserve"> tax reforms in Egypt are to be briefly </w:t>
      </w:r>
      <w:r w:rsidR="002B56F7" w:rsidRPr="004261A9">
        <w:rPr>
          <w:rFonts w:ascii="Times New Roman" w:hAnsi="Times New Roman"/>
        </w:rPr>
        <w:t>discussed</w:t>
      </w:r>
      <w:r w:rsidRPr="004261A9">
        <w:rPr>
          <w:rFonts w:ascii="Times New Roman" w:hAnsi="Times New Roman"/>
        </w:rPr>
        <w:t>. It is important t</w:t>
      </w:r>
      <w:r w:rsidR="00960060" w:rsidRPr="004261A9">
        <w:rPr>
          <w:rFonts w:ascii="Times New Roman" w:hAnsi="Times New Roman"/>
        </w:rPr>
        <w:t xml:space="preserve">o note that the analysis </w:t>
      </w:r>
      <w:r w:rsidR="00C73884" w:rsidRPr="004261A9">
        <w:rPr>
          <w:rFonts w:ascii="Times New Roman" w:hAnsi="Times New Roman"/>
        </w:rPr>
        <w:t xml:space="preserve">only </w:t>
      </w:r>
      <w:r w:rsidR="00960060" w:rsidRPr="004261A9">
        <w:rPr>
          <w:rFonts w:ascii="Times New Roman" w:hAnsi="Times New Roman"/>
        </w:rPr>
        <w:t xml:space="preserve">covers </w:t>
      </w:r>
      <w:r w:rsidRPr="004261A9">
        <w:rPr>
          <w:rFonts w:ascii="Times New Roman" w:hAnsi="Times New Roman"/>
        </w:rPr>
        <w:t xml:space="preserve">reforms </w:t>
      </w:r>
      <w:r w:rsidR="00D40729" w:rsidRPr="004261A9">
        <w:rPr>
          <w:rFonts w:ascii="Times New Roman" w:hAnsi="Times New Roman"/>
        </w:rPr>
        <w:t xml:space="preserve">targeting </w:t>
      </w:r>
      <w:r w:rsidR="00D22CEC" w:rsidRPr="004261A9">
        <w:rPr>
          <w:rFonts w:ascii="Times New Roman" w:hAnsi="Times New Roman"/>
        </w:rPr>
        <w:t xml:space="preserve">the </w:t>
      </w:r>
      <w:r w:rsidRPr="004261A9">
        <w:rPr>
          <w:rFonts w:ascii="Times New Roman" w:hAnsi="Times New Roman"/>
        </w:rPr>
        <w:t>personal income tax</w:t>
      </w:r>
      <w:r w:rsidR="00C73884" w:rsidRPr="004261A9">
        <w:rPr>
          <w:rFonts w:ascii="Times New Roman" w:hAnsi="Times New Roman"/>
        </w:rPr>
        <w:t xml:space="preserve"> and thus a</w:t>
      </w:r>
      <w:r w:rsidR="00721554" w:rsidRPr="004261A9">
        <w:rPr>
          <w:rFonts w:ascii="Times New Roman" w:hAnsi="Times New Roman"/>
        </w:rPr>
        <w:t xml:space="preserve"> detailed evaluation of the new tax policy is outside the scope of this es</w:t>
      </w:r>
      <w:r w:rsidR="00C73884" w:rsidRPr="004261A9">
        <w:rPr>
          <w:rFonts w:ascii="Times New Roman" w:hAnsi="Times New Roman"/>
        </w:rPr>
        <w:t>say.</w:t>
      </w:r>
    </w:p>
    <w:p w:rsidR="002663D2" w:rsidRPr="00F628D5" w:rsidRDefault="00B94CB9" w:rsidP="00B94CB9">
      <w:pPr>
        <w:spacing w:after="0" w:line="360" w:lineRule="auto"/>
        <w:jc w:val="both"/>
        <w:rPr>
          <w:rFonts w:ascii="Times New Roman" w:hAnsi="Times New Roman"/>
          <w:b/>
          <w:i/>
        </w:rPr>
      </w:pPr>
      <w:r w:rsidRPr="00F628D5">
        <w:rPr>
          <w:rFonts w:ascii="Times New Roman" w:hAnsi="Times New Roman"/>
          <w:b/>
          <w:i/>
        </w:rPr>
        <w:t>The 2005 Tax Reforms in Egypt</w:t>
      </w:r>
    </w:p>
    <w:p w:rsidR="009912D5" w:rsidRPr="004261A9" w:rsidRDefault="003A5DC2" w:rsidP="00A62E72">
      <w:pPr>
        <w:spacing w:after="160" w:line="360" w:lineRule="auto"/>
        <w:ind w:firstLine="720"/>
        <w:jc w:val="both"/>
        <w:rPr>
          <w:rFonts w:ascii="Times New Roman" w:hAnsi="Times New Roman"/>
        </w:rPr>
      </w:pPr>
      <w:r w:rsidRPr="004261A9">
        <w:rPr>
          <w:rFonts w:ascii="Times New Roman" w:hAnsi="Times New Roman"/>
        </w:rPr>
        <w:t xml:space="preserve">Due to the significant contribution of tax-payments to the </w:t>
      </w:r>
      <w:r w:rsidR="00F71015" w:rsidRPr="004261A9">
        <w:rPr>
          <w:rFonts w:ascii="Times New Roman" w:hAnsi="Times New Roman"/>
        </w:rPr>
        <w:t>total</w:t>
      </w:r>
      <w:r w:rsidRPr="004261A9">
        <w:rPr>
          <w:rFonts w:ascii="Times New Roman" w:hAnsi="Times New Roman"/>
        </w:rPr>
        <w:t xml:space="preserve"> </w:t>
      </w:r>
      <w:r w:rsidR="009912D5" w:rsidRPr="004261A9">
        <w:rPr>
          <w:rFonts w:ascii="Times New Roman" w:hAnsi="Times New Roman"/>
        </w:rPr>
        <w:t>fiscal revenues – around two thirds in Egypt –</w:t>
      </w:r>
      <w:r w:rsidRPr="004261A9">
        <w:rPr>
          <w:rFonts w:ascii="Times New Roman" w:hAnsi="Times New Roman"/>
        </w:rPr>
        <w:t xml:space="preserve"> and its direct correlation with </w:t>
      </w:r>
      <w:r w:rsidR="000F79B2" w:rsidRPr="004261A9">
        <w:rPr>
          <w:rFonts w:ascii="Times New Roman" w:hAnsi="Times New Roman"/>
        </w:rPr>
        <w:t xml:space="preserve">the </w:t>
      </w:r>
      <w:r w:rsidRPr="004261A9">
        <w:rPr>
          <w:rFonts w:ascii="Times New Roman" w:hAnsi="Times New Roman"/>
        </w:rPr>
        <w:t>investment</w:t>
      </w:r>
      <w:r w:rsidR="00F71015" w:rsidRPr="004261A9">
        <w:rPr>
          <w:rFonts w:ascii="Times New Roman" w:hAnsi="Times New Roman"/>
        </w:rPr>
        <w:t xml:space="preserve"> appetite</w:t>
      </w:r>
      <w:r w:rsidRPr="004261A9">
        <w:rPr>
          <w:rFonts w:ascii="Times New Roman" w:hAnsi="Times New Roman"/>
        </w:rPr>
        <w:t xml:space="preserve">, </w:t>
      </w:r>
      <w:r w:rsidR="00F71015" w:rsidRPr="004261A9">
        <w:rPr>
          <w:rFonts w:ascii="Times New Roman" w:hAnsi="Times New Roman"/>
        </w:rPr>
        <w:t>dec</w:t>
      </w:r>
      <w:r w:rsidR="004F22C2" w:rsidRPr="004261A9">
        <w:rPr>
          <w:rFonts w:ascii="Times New Roman" w:hAnsi="Times New Roman"/>
        </w:rPr>
        <w:t>reasing</w:t>
      </w:r>
      <w:r w:rsidR="002663D2" w:rsidRPr="004261A9">
        <w:rPr>
          <w:rFonts w:ascii="Times New Roman" w:hAnsi="Times New Roman"/>
        </w:rPr>
        <w:t xml:space="preserve"> tax evasion</w:t>
      </w:r>
      <w:r w:rsidR="004F22C2" w:rsidRPr="004261A9">
        <w:rPr>
          <w:rFonts w:ascii="Times New Roman" w:hAnsi="Times New Roman"/>
        </w:rPr>
        <w:t xml:space="preserve"> rates</w:t>
      </w:r>
      <w:r w:rsidR="002663D2" w:rsidRPr="004261A9">
        <w:rPr>
          <w:rFonts w:ascii="Times New Roman" w:hAnsi="Times New Roman"/>
        </w:rPr>
        <w:t xml:space="preserve"> has long been a primary g</w:t>
      </w:r>
      <w:r w:rsidR="00EB52B7" w:rsidRPr="004261A9">
        <w:rPr>
          <w:rFonts w:ascii="Times New Roman" w:hAnsi="Times New Roman"/>
        </w:rPr>
        <w:t xml:space="preserve">oal of the Egyptian government. </w:t>
      </w:r>
      <w:r w:rsidR="004F22C2" w:rsidRPr="004261A9">
        <w:rPr>
          <w:rFonts w:ascii="Times New Roman" w:hAnsi="Times New Roman"/>
        </w:rPr>
        <w:t>The ultimate goal of Law 91 of 2005 was to fix the tax climate in a way that would allow it to become “synergistic”, rather than “antagonistic</w:t>
      </w:r>
      <w:r w:rsidR="004F22C2" w:rsidRPr="004261A9">
        <w:rPr>
          <w:rStyle w:val="FootnoteReference"/>
          <w:rFonts w:ascii="Times New Roman" w:hAnsi="Times New Roman"/>
        </w:rPr>
        <w:footnoteReference w:id="4"/>
      </w:r>
      <w:r w:rsidR="004F22C2" w:rsidRPr="004261A9">
        <w:rPr>
          <w:rFonts w:ascii="Times New Roman" w:hAnsi="Times New Roman"/>
        </w:rPr>
        <w:t>”. Thus fa</w:t>
      </w:r>
      <w:r w:rsidR="009912D5" w:rsidRPr="004261A9">
        <w:rPr>
          <w:rFonts w:ascii="Times New Roman" w:hAnsi="Times New Roman"/>
        </w:rPr>
        <w:t>r, tax</w:t>
      </w:r>
      <w:r w:rsidR="00DB0C5C" w:rsidRPr="004261A9">
        <w:rPr>
          <w:rFonts w:ascii="Times New Roman" w:hAnsi="Times New Roman"/>
        </w:rPr>
        <w:t xml:space="preserve">payers and </w:t>
      </w:r>
      <w:r w:rsidR="009912D5" w:rsidRPr="004261A9">
        <w:rPr>
          <w:rFonts w:ascii="Times New Roman" w:hAnsi="Times New Roman"/>
        </w:rPr>
        <w:t xml:space="preserve">the </w:t>
      </w:r>
      <w:r w:rsidR="00DB0C5C" w:rsidRPr="004261A9">
        <w:rPr>
          <w:rFonts w:ascii="Times New Roman" w:hAnsi="Times New Roman"/>
        </w:rPr>
        <w:t>tax authorities</w:t>
      </w:r>
      <w:r w:rsidR="004F22C2" w:rsidRPr="004261A9">
        <w:rPr>
          <w:rFonts w:ascii="Times New Roman" w:hAnsi="Times New Roman"/>
        </w:rPr>
        <w:t xml:space="preserve"> had been working in completely opposite directions with the relationship between both </w:t>
      </w:r>
      <w:r w:rsidR="00DB0C5C" w:rsidRPr="004261A9">
        <w:rPr>
          <w:rFonts w:ascii="Times New Roman" w:hAnsi="Times New Roman"/>
        </w:rPr>
        <w:t>parties</w:t>
      </w:r>
      <w:r w:rsidR="004F22C2" w:rsidRPr="004261A9">
        <w:rPr>
          <w:rFonts w:ascii="Times New Roman" w:hAnsi="Times New Roman"/>
        </w:rPr>
        <w:t xml:space="preserve"> </w:t>
      </w:r>
      <w:r w:rsidR="009912D5" w:rsidRPr="004261A9">
        <w:rPr>
          <w:rFonts w:ascii="Times New Roman" w:hAnsi="Times New Roman"/>
        </w:rPr>
        <w:t xml:space="preserve">perhaps </w:t>
      </w:r>
      <w:r w:rsidR="004F22C2" w:rsidRPr="004261A9">
        <w:rPr>
          <w:rFonts w:ascii="Times New Roman" w:hAnsi="Times New Roman"/>
        </w:rPr>
        <w:t>being</w:t>
      </w:r>
      <w:r w:rsidR="009912D5" w:rsidRPr="004261A9">
        <w:rPr>
          <w:rFonts w:ascii="Times New Roman" w:hAnsi="Times New Roman"/>
        </w:rPr>
        <w:t xml:space="preserve"> best</w:t>
      </w:r>
      <w:r w:rsidR="004F22C2" w:rsidRPr="004261A9">
        <w:rPr>
          <w:rFonts w:ascii="Times New Roman" w:hAnsi="Times New Roman"/>
        </w:rPr>
        <w:t xml:space="preserve"> perceived as a “cops-robbers” relationship. </w:t>
      </w:r>
      <w:r w:rsidR="00E0440C" w:rsidRPr="004261A9">
        <w:rPr>
          <w:rFonts w:ascii="Times New Roman" w:hAnsi="Times New Roman"/>
        </w:rPr>
        <w:t>However, t</w:t>
      </w:r>
      <w:r w:rsidR="004F22C2" w:rsidRPr="004261A9">
        <w:rPr>
          <w:rFonts w:ascii="Times New Roman" w:hAnsi="Times New Roman"/>
        </w:rPr>
        <w:t xml:space="preserve">he </w:t>
      </w:r>
      <w:r w:rsidR="00EA5C5C" w:rsidRPr="004261A9">
        <w:rPr>
          <w:rFonts w:ascii="Times New Roman" w:hAnsi="Times New Roman"/>
        </w:rPr>
        <w:t>introduction of three major policy directions in terms of tax rate reductions, simplification of the tax system as well as administrative reforms were</w:t>
      </w:r>
      <w:r w:rsidR="009912D5" w:rsidRPr="004261A9">
        <w:rPr>
          <w:rFonts w:ascii="Times New Roman" w:hAnsi="Times New Roman"/>
        </w:rPr>
        <w:t xml:space="preserve"> </w:t>
      </w:r>
      <w:r w:rsidR="0016102C" w:rsidRPr="004261A9">
        <w:rPr>
          <w:rFonts w:ascii="Times New Roman" w:hAnsi="Times New Roman"/>
        </w:rPr>
        <w:t>propagated to enforce a</w:t>
      </w:r>
      <w:r w:rsidR="009912D5" w:rsidRPr="004261A9">
        <w:rPr>
          <w:rFonts w:ascii="Times New Roman" w:hAnsi="Times New Roman"/>
        </w:rPr>
        <w:t xml:space="preserve"> paradigm-shift to a</w:t>
      </w:r>
      <w:r w:rsidR="0016102C" w:rsidRPr="004261A9">
        <w:rPr>
          <w:rFonts w:ascii="Times New Roman" w:hAnsi="Times New Roman"/>
        </w:rPr>
        <w:t xml:space="preserve"> “</w:t>
      </w:r>
      <w:r w:rsidR="00A7031E" w:rsidRPr="004261A9">
        <w:rPr>
          <w:rFonts w:ascii="Times New Roman" w:hAnsi="Times New Roman"/>
        </w:rPr>
        <w:t xml:space="preserve">service- </w:t>
      </w:r>
      <w:r w:rsidR="0016102C" w:rsidRPr="004261A9">
        <w:rPr>
          <w:rFonts w:ascii="Times New Roman" w:hAnsi="Times New Roman"/>
        </w:rPr>
        <w:t xml:space="preserve">client” </w:t>
      </w:r>
      <w:r w:rsidR="00087EBB" w:rsidRPr="004261A9">
        <w:rPr>
          <w:rFonts w:ascii="Times New Roman" w:hAnsi="Times New Roman"/>
        </w:rPr>
        <w:t xml:space="preserve">relationship. </w:t>
      </w:r>
      <w:r w:rsidR="00302BB0" w:rsidRPr="004261A9">
        <w:rPr>
          <w:rFonts w:ascii="Times New Roman" w:hAnsi="Times New Roman"/>
        </w:rPr>
        <w:t xml:space="preserve">According to </w:t>
      </w:r>
      <w:r w:rsidR="009912D5" w:rsidRPr="004261A9">
        <w:rPr>
          <w:rFonts w:ascii="Times New Roman" w:hAnsi="Times New Roman"/>
        </w:rPr>
        <w:t>the aforementioned law</w:t>
      </w:r>
      <w:r w:rsidR="00302BB0" w:rsidRPr="004261A9">
        <w:rPr>
          <w:rFonts w:ascii="Times New Roman" w:hAnsi="Times New Roman"/>
        </w:rPr>
        <w:t>, t</w:t>
      </w:r>
      <w:r w:rsidR="00A7031E" w:rsidRPr="004261A9">
        <w:rPr>
          <w:rFonts w:ascii="Times New Roman" w:hAnsi="Times New Roman"/>
        </w:rPr>
        <w:t xml:space="preserve">ax rates were </w:t>
      </w:r>
      <w:r w:rsidR="00CB129E" w:rsidRPr="004261A9">
        <w:rPr>
          <w:rFonts w:ascii="Times New Roman" w:hAnsi="Times New Roman"/>
        </w:rPr>
        <w:t>lowered</w:t>
      </w:r>
      <w:r w:rsidR="00A7031E" w:rsidRPr="004261A9">
        <w:rPr>
          <w:rFonts w:ascii="Times New Roman" w:hAnsi="Times New Roman"/>
        </w:rPr>
        <w:t xml:space="preserve"> by 50%, tax exemptions includ</w:t>
      </w:r>
      <w:r w:rsidR="00DB0C5C" w:rsidRPr="004261A9">
        <w:rPr>
          <w:rFonts w:ascii="Times New Roman" w:hAnsi="Times New Roman"/>
        </w:rPr>
        <w:t>ed a much wider population base and</w:t>
      </w:r>
      <w:r w:rsidR="00A7031E" w:rsidRPr="004261A9">
        <w:rPr>
          <w:rFonts w:ascii="Times New Roman" w:hAnsi="Times New Roman"/>
        </w:rPr>
        <w:t xml:space="preserve"> </w:t>
      </w:r>
      <w:r w:rsidR="00302BB0" w:rsidRPr="004261A9">
        <w:rPr>
          <w:rFonts w:ascii="Times New Roman" w:hAnsi="Times New Roman"/>
        </w:rPr>
        <w:t xml:space="preserve">income tax brackets were </w:t>
      </w:r>
      <w:r w:rsidR="00CB129E" w:rsidRPr="004261A9">
        <w:rPr>
          <w:rFonts w:ascii="Times New Roman" w:hAnsi="Times New Roman"/>
        </w:rPr>
        <w:t>divided</w:t>
      </w:r>
      <w:r w:rsidR="00302BB0" w:rsidRPr="004261A9">
        <w:rPr>
          <w:rFonts w:ascii="Times New Roman" w:hAnsi="Times New Roman"/>
        </w:rPr>
        <w:t xml:space="preserve"> into three categories only</w:t>
      </w:r>
      <w:r w:rsidR="00DB0C5C" w:rsidRPr="004261A9">
        <w:rPr>
          <w:rFonts w:ascii="Times New Roman" w:hAnsi="Times New Roman"/>
        </w:rPr>
        <w:t>. Furthermore,</w:t>
      </w:r>
      <w:r w:rsidR="00CB129E" w:rsidRPr="004261A9">
        <w:rPr>
          <w:rFonts w:ascii="Times New Roman" w:hAnsi="Times New Roman"/>
        </w:rPr>
        <w:t xml:space="preserve"> tax assessment shifted from the costly comprehe</w:t>
      </w:r>
      <w:r w:rsidR="009912D5" w:rsidRPr="004261A9">
        <w:rPr>
          <w:rFonts w:ascii="Times New Roman" w:hAnsi="Times New Roman"/>
        </w:rPr>
        <w:t>nsive tax assessment to a self-</w:t>
      </w:r>
      <w:r w:rsidR="00CB129E" w:rsidRPr="004261A9">
        <w:rPr>
          <w:rFonts w:ascii="Times New Roman" w:hAnsi="Times New Roman"/>
        </w:rPr>
        <w:t xml:space="preserve">assessment regime. Nevertheless, higher penalties against </w:t>
      </w:r>
      <w:r w:rsidR="000D7876" w:rsidRPr="004261A9">
        <w:rPr>
          <w:rFonts w:ascii="Times New Roman" w:hAnsi="Times New Roman"/>
        </w:rPr>
        <w:t>tax evasion</w:t>
      </w:r>
      <w:r w:rsidR="00376874" w:rsidRPr="004261A9">
        <w:rPr>
          <w:rFonts w:ascii="Times New Roman" w:hAnsi="Times New Roman"/>
        </w:rPr>
        <w:t xml:space="preserve"> were introduced, including imprisonment. In fact, </w:t>
      </w:r>
      <w:r w:rsidR="000D7876" w:rsidRPr="004261A9">
        <w:rPr>
          <w:rFonts w:ascii="Times New Roman" w:hAnsi="Times New Roman"/>
        </w:rPr>
        <w:t xml:space="preserve">the percentage of tax revenues increased from 63.4% of total public revenues in 2006 to 70.1% in 2010. Similarly, </w:t>
      </w:r>
      <w:r w:rsidR="00376874" w:rsidRPr="004261A9">
        <w:rPr>
          <w:rFonts w:ascii="Times New Roman" w:hAnsi="Times New Roman"/>
        </w:rPr>
        <w:t>evasion rates are estimated to have fallen from 35.4% in 2004 to 30.8% in 2008</w:t>
      </w:r>
      <w:r w:rsidR="0012304F" w:rsidRPr="004261A9">
        <w:rPr>
          <w:rStyle w:val="FootnoteReference"/>
          <w:rFonts w:ascii="Times New Roman" w:hAnsi="Times New Roman"/>
        </w:rPr>
        <w:footnoteReference w:id="5"/>
      </w:r>
      <w:r w:rsidR="00376874" w:rsidRPr="004261A9">
        <w:rPr>
          <w:rFonts w:ascii="Times New Roman" w:hAnsi="Times New Roman"/>
        </w:rPr>
        <w:t xml:space="preserve">. </w:t>
      </w:r>
      <w:r w:rsidR="009912D5" w:rsidRPr="004261A9">
        <w:rPr>
          <w:rFonts w:ascii="Times New Roman" w:hAnsi="Times New Roman"/>
        </w:rPr>
        <w:t>With a total net inflow of revenues, i</w:t>
      </w:r>
      <w:r w:rsidR="000D7876" w:rsidRPr="004261A9">
        <w:rPr>
          <w:rFonts w:ascii="Times New Roman" w:hAnsi="Times New Roman"/>
        </w:rPr>
        <w:t xml:space="preserve">t is safe to assume that the reforms had a much stronger effect on public revenues than the 50% tax cuts. </w:t>
      </w:r>
      <w:r w:rsidR="008B76E8" w:rsidRPr="004261A9">
        <w:rPr>
          <w:rFonts w:ascii="Times New Roman" w:hAnsi="Times New Roman"/>
        </w:rPr>
        <w:t>These results are particularly useful at this critical stage of Egypt</w:t>
      </w:r>
      <w:r w:rsidR="003D7E80" w:rsidRPr="004261A9">
        <w:rPr>
          <w:rFonts w:ascii="Times New Roman" w:hAnsi="Times New Roman"/>
        </w:rPr>
        <w:t xml:space="preserve">’s economic history with most </w:t>
      </w:r>
      <w:r w:rsidR="00C47693" w:rsidRPr="004261A9">
        <w:rPr>
          <w:rFonts w:ascii="Times New Roman" w:hAnsi="Times New Roman"/>
        </w:rPr>
        <w:t xml:space="preserve">of </w:t>
      </w:r>
      <w:r w:rsidR="008B76E8" w:rsidRPr="004261A9">
        <w:rPr>
          <w:rFonts w:ascii="Times New Roman" w:hAnsi="Times New Roman"/>
        </w:rPr>
        <w:t>t</w:t>
      </w:r>
      <w:r w:rsidR="003D7E80" w:rsidRPr="004261A9">
        <w:rPr>
          <w:rFonts w:ascii="Times New Roman" w:hAnsi="Times New Roman"/>
        </w:rPr>
        <w:t>he different sources of revenue</w:t>
      </w:r>
      <w:r w:rsidR="008B76E8" w:rsidRPr="004261A9">
        <w:rPr>
          <w:rFonts w:ascii="Times New Roman" w:hAnsi="Times New Roman"/>
        </w:rPr>
        <w:t xml:space="preserve"> </w:t>
      </w:r>
      <w:r w:rsidR="00C47693" w:rsidRPr="004261A9">
        <w:rPr>
          <w:rFonts w:ascii="Times New Roman" w:hAnsi="Times New Roman"/>
        </w:rPr>
        <w:t xml:space="preserve">sharply </w:t>
      </w:r>
      <w:r w:rsidR="008B76E8" w:rsidRPr="004261A9">
        <w:rPr>
          <w:rFonts w:ascii="Times New Roman" w:hAnsi="Times New Roman"/>
        </w:rPr>
        <w:t xml:space="preserve">declining. Yet, if addressed correctly, this source of public revenue could potentially compensate </w:t>
      </w:r>
      <w:r w:rsidR="00C47693" w:rsidRPr="004261A9">
        <w:rPr>
          <w:rFonts w:ascii="Times New Roman" w:hAnsi="Times New Roman"/>
        </w:rPr>
        <w:t xml:space="preserve">for </w:t>
      </w:r>
      <w:r w:rsidR="004F7ABD" w:rsidRPr="004261A9">
        <w:rPr>
          <w:rFonts w:ascii="Times New Roman" w:hAnsi="Times New Roman"/>
        </w:rPr>
        <w:t>other</w:t>
      </w:r>
      <w:r w:rsidR="003D7E80" w:rsidRPr="004261A9">
        <w:rPr>
          <w:rFonts w:ascii="Times New Roman" w:hAnsi="Times New Roman"/>
        </w:rPr>
        <w:t xml:space="preserve"> </w:t>
      </w:r>
      <w:r w:rsidR="008B76E8" w:rsidRPr="004261A9">
        <w:rPr>
          <w:rFonts w:ascii="Times New Roman" w:hAnsi="Times New Roman"/>
        </w:rPr>
        <w:t xml:space="preserve">gaps in the fiscal budget. </w:t>
      </w:r>
      <w:r w:rsidR="00F90400" w:rsidRPr="004261A9">
        <w:rPr>
          <w:rFonts w:ascii="Times New Roman" w:hAnsi="Times New Roman"/>
        </w:rPr>
        <w:t xml:space="preserve">In the following, </w:t>
      </w:r>
      <w:r w:rsidR="008B76E8" w:rsidRPr="004261A9">
        <w:rPr>
          <w:rFonts w:ascii="Times New Roman" w:hAnsi="Times New Roman"/>
        </w:rPr>
        <w:t>the</w:t>
      </w:r>
      <w:r w:rsidR="00F90400" w:rsidRPr="004261A9">
        <w:rPr>
          <w:rFonts w:ascii="Times New Roman" w:hAnsi="Times New Roman"/>
        </w:rPr>
        <w:t xml:space="preserve"> </w:t>
      </w:r>
      <w:r w:rsidR="008B76E8" w:rsidRPr="004261A9">
        <w:rPr>
          <w:rFonts w:ascii="Times New Roman" w:hAnsi="Times New Roman"/>
        </w:rPr>
        <w:t xml:space="preserve">public response to the reforms </w:t>
      </w:r>
      <w:r w:rsidR="00F90400" w:rsidRPr="004261A9">
        <w:rPr>
          <w:rFonts w:ascii="Times New Roman" w:hAnsi="Times New Roman"/>
        </w:rPr>
        <w:t>will be analyze</w:t>
      </w:r>
      <w:r w:rsidR="008B76E8" w:rsidRPr="004261A9">
        <w:rPr>
          <w:rFonts w:ascii="Times New Roman" w:hAnsi="Times New Roman"/>
        </w:rPr>
        <w:t xml:space="preserve">d using the most </w:t>
      </w:r>
      <w:r w:rsidR="007A2478" w:rsidRPr="004261A9">
        <w:rPr>
          <w:rFonts w:ascii="Times New Roman" w:hAnsi="Times New Roman"/>
        </w:rPr>
        <w:t>common</w:t>
      </w:r>
      <w:r w:rsidR="008B76E8" w:rsidRPr="004261A9">
        <w:rPr>
          <w:rFonts w:ascii="Times New Roman" w:hAnsi="Times New Roman"/>
        </w:rPr>
        <w:t xml:space="preserve"> areas of neuroeconomic research: r</w:t>
      </w:r>
      <w:r w:rsidR="00F90400" w:rsidRPr="004261A9">
        <w:rPr>
          <w:rFonts w:ascii="Times New Roman" w:hAnsi="Times New Roman"/>
        </w:rPr>
        <w:t xml:space="preserve">isk and ambiguity, reciprocity, trust and time </w:t>
      </w:r>
      <w:r w:rsidR="008B76E8" w:rsidRPr="004261A9">
        <w:rPr>
          <w:rFonts w:ascii="Times New Roman" w:hAnsi="Times New Roman"/>
        </w:rPr>
        <w:t>inconsistency</w:t>
      </w:r>
      <w:r w:rsidR="00FF3045" w:rsidRPr="004261A9">
        <w:rPr>
          <w:rFonts w:ascii="Times New Roman" w:hAnsi="Times New Roman"/>
        </w:rPr>
        <w:t xml:space="preserve">.  </w:t>
      </w:r>
    </w:p>
    <w:p w:rsidR="00FF3045" w:rsidRPr="00F628D5" w:rsidRDefault="009912D5" w:rsidP="009912D5">
      <w:pPr>
        <w:spacing w:after="0" w:line="360" w:lineRule="auto"/>
        <w:jc w:val="both"/>
        <w:rPr>
          <w:rFonts w:ascii="Times New Roman" w:hAnsi="Times New Roman"/>
          <w:b/>
          <w:i/>
        </w:rPr>
      </w:pPr>
      <w:r w:rsidRPr="00F628D5">
        <w:rPr>
          <w:rFonts w:ascii="Times New Roman" w:hAnsi="Times New Roman"/>
          <w:b/>
          <w:i/>
        </w:rPr>
        <w:t>Tax Compliance in Egypt – A Neuroeconomic Approach</w:t>
      </w:r>
    </w:p>
    <w:p w:rsidR="00B63C16" w:rsidRPr="004261A9" w:rsidRDefault="007D5531" w:rsidP="00B63C16">
      <w:pPr>
        <w:spacing w:after="0" w:line="360" w:lineRule="auto"/>
        <w:ind w:firstLine="720"/>
        <w:jc w:val="both"/>
        <w:rPr>
          <w:rFonts w:ascii="Times New Roman" w:hAnsi="Times New Roman"/>
        </w:rPr>
      </w:pPr>
      <w:r w:rsidRPr="004261A9">
        <w:rPr>
          <w:rFonts w:ascii="Times New Roman" w:hAnsi="Times New Roman"/>
        </w:rPr>
        <w:t>The most straightforward explanation for high tax compliance is risk and ambiguity aversion. Scientific research has shown that the region in the brain responsibl</w:t>
      </w:r>
      <w:r w:rsidR="0059761E" w:rsidRPr="004261A9">
        <w:rPr>
          <w:rFonts w:ascii="Times New Roman" w:hAnsi="Times New Roman"/>
        </w:rPr>
        <w:t xml:space="preserve">e for risk and aversion is the </w:t>
      </w:r>
      <w:r w:rsidRPr="004261A9">
        <w:rPr>
          <w:rFonts w:ascii="Times New Roman" w:hAnsi="Times New Roman"/>
        </w:rPr>
        <w:t>amygdal</w:t>
      </w:r>
      <w:r w:rsidR="0059761E" w:rsidRPr="004261A9">
        <w:rPr>
          <w:rFonts w:ascii="Times New Roman" w:hAnsi="Times New Roman"/>
        </w:rPr>
        <w:t>a</w:t>
      </w:r>
      <w:r w:rsidR="0059761E" w:rsidRPr="004261A9">
        <w:rPr>
          <w:rFonts w:ascii="Times New Roman" w:hAnsi="Times New Roman"/>
          <w:i/>
        </w:rPr>
        <w:t xml:space="preserve">, </w:t>
      </w:r>
      <w:r w:rsidRPr="004261A9">
        <w:rPr>
          <w:rFonts w:ascii="Times New Roman" w:hAnsi="Times New Roman"/>
        </w:rPr>
        <w:t xml:space="preserve">which releases emotional signals in the event of potential fear. This is particularly true when </w:t>
      </w:r>
      <w:r w:rsidR="001A06D5" w:rsidRPr="004261A9">
        <w:rPr>
          <w:rFonts w:ascii="Times New Roman" w:hAnsi="Times New Roman"/>
        </w:rPr>
        <w:t xml:space="preserve">we come to </w:t>
      </w:r>
      <w:r w:rsidR="0086345B" w:rsidRPr="004261A9">
        <w:rPr>
          <w:rFonts w:ascii="Times New Roman" w:hAnsi="Times New Roman"/>
        </w:rPr>
        <w:t>differentiate</w:t>
      </w:r>
      <w:r w:rsidR="001A06D5" w:rsidRPr="004261A9">
        <w:rPr>
          <w:rFonts w:ascii="Times New Roman" w:hAnsi="Times New Roman"/>
        </w:rPr>
        <w:t xml:space="preserve"> between subjective and objective audit probabilities. According to the “hindsight bias”</w:t>
      </w:r>
      <w:r w:rsidR="007F19F8" w:rsidRPr="004261A9">
        <w:rPr>
          <w:rFonts w:ascii="Times New Roman" w:hAnsi="Times New Roman"/>
        </w:rPr>
        <w:t>,</w:t>
      </w:r>
      <w:r w:rsidR="0086345B" w:rsidRPr="004261A9">
        <w:rPr>
          <w:rFonts w:ascii="Times New Roman" w:hAnsi="Times New Roman"/>
        </w:rPr>
        <w:t xml:space="preserve"> there is a tendency for individuals to overestimate the forseeability of risky events, such as the event of being aud</w:t>
      </w:r>
      <w:r w:rsidR="009912D5" w:rsidRPr="004261A9">
        <w:rPr>
          <w:rFonts w:ascii="Times New Roman" w:hAnsi="Times New Roman"/>
        </w:rPr>
        <w:t xml:space="preserve">ited. In that case, subjective – </w:t>
      </w:r>
      <w:r w:rsidR="0086345B" w:rsidRPr="004261A9">
        <w:rPr>
          <w:rFonts w:ascii="Times New Roman" w:hAnsi="Times New Roman"/>
        </w:rPr>
        <w:t xml:space="preserve">rather than </w:t>
      </w:r>
      <w:r w:rsidR="009912D5" w:rsidRPr="004261A9">
        <w:rPr>
          <w:rFonts w:ascii="Times New Roman" w:hAnsi="Times New Roman"/>
        </w:rPr>
        <w:t>objective –</w:t>
      </w:r>
      <w:r w:rsidR="0086345B" w:rsidRPr="004261A9">
        <w:rPr>
          <w:rFonts w:ascii="Times New Roman" w:hAnsi="Times New Roman"/>
        </w:rPr>
        <w:t xml:space="preserve"> </w:t>
      </w:r>
      <w:r w:rsidR="002848FB" w:rsidRPr="004261A9">
        <w:rPr>
          <w:rFonts w:ascii="Times New Roman" w:hAnsi="Times New Roman"/>
        </w:rPr>
        <w:t xml:space="preserve">audit probabilities are what determine the activation of the amygdala. </w:t>
      </w:r>
      <w:r w:rsidR="007A3A6F" w:rsidRPr="004261A9">
        <w:rPr>
          <w:rFonts w:ascii="Times New Roman" w:hAnsi="Times New Roman"/>
        </w:rPr>
        <w:t xml:space="preserve">However, it is to be noted that the </w:t>
      </w:r>
      <w:r w:rsidR="0059761E" w:rsidRPr="004261A9">
        <w:rPr>
          <w:rFonts w:ascii="Times New Roman" w:hAnsi="Times New Roman"/>
        </w:rPr>
        <w:t>categorization</w:t>
      </w:r>
      <w:r w:rsidR="007A3A6F" w:rsidRPr="004261A9">
        <w:rPr>
          <w:rFonts w:ascii="Times New Roman" w:hAnsi="Times New Roman"/>
        </w:rPr>
        <w:t xml:space="preserve"> of a risky event either as a risky</w:t>
      </w:r>
      <w:r w:rsidR="0059761E" w:rsidRPr="004261A9">
        <w:rPr>
          <w:rFonts w:ascii="Times New Roman" w:hAnsi="Times New Roman"/>
        </w:rPr>
        <w:t xml:space="preserve"> gain or a risky loss stimulates</w:t>
      </w:r>
      <w:r w:rsidR="007A3A6F" w:rsidRPr="004261A9">
        <w:rPr>
          <w:rFonts w:ascii="Times New Roman" w:hAnsi="Times New Roman"/>
        </w:rPr>
        <w:t xml:space="preserve"> two different </w:t>
      </w:r>
      <w:r w:rsidR="0059761E" w:rsidRPr="004261A9">
        <w:rPr>
          <w:rFonts w:ascii="Times New Roman" w:hAnsi="Times New Roman"/>
        </w:rPr>
        <w:t>cortices</w:t>
      </w:r>
      <w:r w:rsidR="007A3A6F" w:rsidRPr="004261A9">
        <w:rPr>
          <w:rFonts w:ascii="Times New Roman" w:hAnsi="Times New Roman"/>
        </w:rPr>
        <w:t xml:space="preserve"> in the brain and thus reveal</w:t>
      </w:r>
      <w:r w:rsidR="00DB0C5C" w:rsidRPr="004261A9">
        <w:rPr>
          <w:rFonts w:ascii="Times New Roman" w:hAnsi="Times New Roman"/>
        </w:rPr>
        <w:t>s</w:t>
      </w:r>
      <w:r w:rsidR="007A3A6F" w:rsidRPr="004261A9">
        <w:rPr>
          <w:rFonts w:ascii="Times New Roman" w:hAnsi="Times New Roman"/>
        </w:rPr>
        <w:t xml:space="preserve"> different degrees of risk aversion. In other words, “individuals appear to be risk averse when it comes to gains and risk-preferring for losses</w:t>
      </w:r>
      <w:r w:rsidR="0059761E" w:rsidRPr="004261A9">
        <w:rPr>
          <w:rStyle w:val="FootnoteReference"/>
          <w:rFonts w:ascii="Times New Roman" w:hAnsi="Times New Roman"/>
        </w:rPr>
        <w:footnoteReference w:id="6"/>
      </w:r>
      <w:r w:rsidR="007A3A6F" w:rsidRPr="004261A9">
        <w:rPr>
          <w:rFonts w:ascii="Times New Roman" w:hAnsi="Times New Roman"/>
        </w:rPr>
        <w:t>”. If w</w:t>
      </w:r>
      <w:r w:rsidR="00670561" w:rsidRPr="004261A9">
        <w:rPr>
          <w:rFonts w:ascii="Times New Roman" w:hAnsi="Times New Roman"/>
        </w:rPr>
        <w:t>e consider penalties</w:t>
      </w:r>
      <w:r w:rsidR="0059761E" w:rsidRPr="004261A9">
        <w:rPr>
          <w:rFonts w:ascii="Times New Roman" w:hAnsi="Times New Roman"/>
        </w:rPr>
        <w:t xml:space="preserve"> </w:t>
      </w:r>
      <w:r w:rsidR="00DB0C5C" w:rsidRPr="004261A9">
        <w:rPr>
          <w:rFonts w:ascii="Times New Roman" w:hAnsi="Times New Roman"/>
        </w:rPr>
        <w:t xml:space="preserve">to be </w:t>
      </w:r>
      <w:r w:rsidR="007A3A6F" w:rsidRPr="004261A9">
        <w:rPr>
          <w:rFonts w:ascii="Times New Roman" w:hAnsi="Times New Roman"/>
        </w:rPr>
        <w:t xml:space="preserve">“risky losses”, </w:t>
      </w:r>
      <w:r w:rsidR="0059761E" w:rsidRPr="004261A9">
        <w:rPr>
          <w:rFonts w:ascii="Times New Roman" w:hAnsi="Times New Roman"/>
        </w:rPr>
        <w:t xml:space="preserve">the phenomenon of tax evasion could better be understood. </w:t>
      </w:r>
      <w:r w:rsidR="00B16BF6" w:rsidRPr="004261A9">
        <w:rPr>
          <w:rFonts w:ascii="Times New Roman" w:hAnsi="Times New Roman"/>
        </w:rPr>
        <w:t>This is what has been</w:t>
      </w:r>
      <w:r w:rsidR="00C4665D" w:rsidRPr="004261A9">
        <w:rPr>
          <w:rFonts w:ascii="Times New Roman" w:hAnsi="Times New Roman"/>
        </w:rPr>
        <w:t xml:space="preserve"> largely</w:t>
      </w:r>
      <w:r w:rsidR="00B16BF6" w:rsidRPr="004261A9">
        <w:rPr>
          <w:rFonts w:ascii="Times New Roman" w:hAnsi="Times New Roman"/>
        </w:rPr>
        <w:t xml:space="preserve"> happening prior to the tax reform in Egypt. </w:t>
      </w:r>
      <w:r w:rsidR="00361B40" w:rsidRPr="004261A9">
        <w:rPr>
          <w:rFonts w:ascii="Times New Roman" w:hAnsi="Times New Roman"/>
        </w:rPr>
        <w:t>Yet, n</w:t>
      </w:r>
      <w:r w:rsidR="00670561" w:rsidRPr="004261A9">
        <w:rPr>
          <w:rFonts w:ascii="Times New Roman" w:hAnsi="Times New Roman"/>
        </w:rPr>
        <w:t xml:space="preserve">euroeconomic research has shown that the higher the trustworthiness of the tax authorities, </w:t>
      </w:r>
      <w:r w:rsidR="004115F4" w:rsidRPr="004261A9">
        <w:rPr>
          <w:rFonts w:ascii="Times New Roman" w:hAnsi="Times New Roman"/>
        </w:rPr>
        <w:t xml:space="preserve">the less relevant </w:t>
      </w:r>
      <w:r w:rsidR="0029060C" w:rsidRPr="004261A9">
        <w:rPr>
          <w:rFonts w:ascii="Times New Roman" w:hAnsi="Times New Roman"/>
        </w:rPr>
        <w:t xml:space="preserve">is </w:t>
      </w:r>
      <w:r w:rsidR="004115F4" w:rsidRPr="004261A9">
        <w:rPr>
          <w:rFonts w:ascii="Times New Roman" w:hAnsi="Times New Roman"/>
        </w:rPr>
        <w:t>risk calculation</w:t>
      </w:r>
      <w:r w:rsidR="0029060C" w:rsidRPr="004261A9">
        <w:rPr>
          <w:rFonts w:ascii="Times New Roman" w:hAnsi="Times New Roman"/>
        </w:rPr>
        <w:t xml:space="preserve"> by individuals and the more relevant </w:t>
      </w:r>
      <w:r w:rsidR="00B16BF6" w:rsidRPr="004261A9">
        <w:rPr>
          <w:rFonts w:ascii="Times New Roman" w:hAnsi="Times New Roman"/>
        </w:rPr>
        <w:t xml:space="preserve">are </w:t>
      </w:r>
      <w:r w:rsidR="0029060C" w:rsidRPr="004261A9">
        <w:rPr>
          <w:rFonts w:ascii="Times New Roman" w:hAnsi="Times New Roman"/>
        </w:rPr>
        <w:t>the common norm</w:t>
      </w:r>
      <w:r w:rsidR="00B16BF6" w:rsidRPr="004261A9">
        <w:rPr>
          <w:rFonts w:ascii="Times New Roman" w:hAnsi="Times New Roman"/>
        </w:rPr>
        <w:t>s</w:t>
      </w:r>
      <w:r w:rsidR="0029060C" w:rsidRPr="004261A9">
        <w:rPr>
          <w:rFonts w:ascii="Times New Roman" w:hAnsi="Times New Roman"/>
        </w:rPr>
        <w:t xml:space="preserve"> followed by the people. </w:t>
      </w:r>
    </w:p>
    <w:p w:rsidR="00B63C16" w:rsidRPr="004261A9" w:rsidRDefault="00502C68" w:rsidP="006E16FD">
      <w:pPr>
        <w:spacing w:after="0" w:line="360" w:lineRule="auto"/>
        <w:ind w:firstLine="720"/>
        <w:jc w:val="both"/>
        <w:rPr>
          <w:rFonts w:ascii="Times New Roman" w:hAnsi="Times New Roman"/>
        </w:rPr>
      </w:pPr>
      <w:r w:rsidRPr="004261A9">
        <w:rPr>
          <w:rFonts w:ascii="Times New Roman" w:hAnsi="Times New Roman"/>
        </w:rPr>
        <w:t xml:space="preserve">A further notion that has fostered Egyptians’ tax morale, resulting in higher rates of compliance is that of reciprocity. </w:t>
      </w:r>
      <w:r w:rsidR="001E0085" w:rsidRPr="004261A9">
        <w:rPr>
          <w:rFonts w:ascii="Times New Roman" w:hAnsi="Times New Roman"/>
        </w:rPr>
        <w:t>In this fram</w:t>
      </w:r>
      <w:r w:rsidR="004D0C04" w:rsidRPr="004261A9">
        <w:rPr>
          <w:rFonts w:ascii="Times New Roman" w:hAnsi="Times New Roman"/>
        </w:rPr>
        <w:t>e</w:t>
      </w:r>
      <w:r w:rsidR="001E0085" w:rsidRPr="004261A9">
        <w:rPr>
          <w:rFonts w:ascii="Times New Roman" w:hAnsi="Times New Roman"/>
        </w:rPr>
        <w:t>work, re</w:t>
      </w:r>
      <w:r w:rsidR="00614BCC" w:rsidRPr="004261A9">
        <w:rPr>
          <w:rFonts w:ascii="Times New Roman" w:hAnsi="Times New Roman"/>
        </w:rPr>
        <w:t>c</w:t>
      </w:r>
      <w:r w:rsidR="00B63C16" w:rsidRPr="004261A9">
        <w:rPr>
          <w:rFonts w:ascii="Times New Roman" w:hAnsi="Times New Roman"/>
        </w:rPr>
        <w:t>iprocity involves two aspects. I</w:t>
      </w:r>
      <w:r w:rsidR="004D0C04" w:rsidRPr="004261A9">
        <w:rPr>
          <w:rFonts w:ascii="Times New Roman" w:hAnsi="Times New Roman"/>
        </w:rPr>
        <w:t>ndividuals wil</w:t>
      </w:r>
      <w:r w:rsidR="009912D5" w:rsidRPr="004261A9">
        <w:rPr>
          <w:rFonts w:ascii="Times New Roman" w:hAnsi="Times New Roman"/>
        </w:rPr>
        <w:t xml:space="preserve">l not be friendly to strangers – </w:t>
      </w:r>
      <w:r w:rsidR="004D0C04" w:rsidRPr="004261A9">
        <w:rPr>
          <w:rFonts w:ascii="Times New Roman" w:hAnsi="Times New Roman"/>
        </w:rPr>
        <w:t>cooperate with the tax authority</w:t>
      </w:r>
      <w:r w:rsidR="009912D5" w:rsidRPr="004261A9">
        <w:rPr>
          <w:rFonts w:ascii="Times New Roman" w:hAnsi="Times New Roman"/>
        </w:rPr>
        <w:t xml:space="preserve"> –</w:t>
      </w:r>
      <w:r w:rsidR="004D0C04" w:rsidRPr="004261A9">
        <w:rPr>
          <w:rFonts w:ascii="Times New Roman" w:hAnsi="Times New Roman"/>
        </w:rPr>
        <w:t xml:space="preserve"> unless they know that this cooperat</w:t>
      </w:r>
      <w:r w:rsidR="00DB0C5C" w:rsidRPr="004261A9">
        <w:rPr>
          <w:rFonts w:ascii="Times New Roman" w:hAnsi="Times New Roman"/>
        </w:rPr>
        <w:t xml:space="preserve">ion will be reciprocated; </w:t>
      </w:r>
      <w:r w:rsidR="004D0C04" w:rsidRPr="004261A9">
        <w:rPr>
          <w:rFonts w:ascii="Times New Roman" w:hAnsi="Times New Roman"/>
        </w:rPr>
        <w:t>governments respecting the “benefit principle of taxation</w:t>
      </w:r>
      <w:r w:rsidR="004D0C04" w:rsidRPr="004261A9">
        <w:rPr>
          <w:rStyle w:val="FootnoteReference"/>
          <w:rFonts w:ascii="Times New Roman" w:hAnsi="Times New Roman"/>
        </w:rPr>
        <w:footnoteReference w:id="7"/>
      </w:r>
      <w:r w:rsidR="004D0C04" w:rsidRPr="004261A9">
        <w:rPr>
          <w:rFonts w:ascii="Times New Roman" w:hAnsi="Times New Roman"/>
        </w:rPr>
        <w:t xml:space="preserve">”, which ensures that public services meet public demand at a reasonable tax rates. </w:t>
      </w:r>
      <w:r w:rsidR="00A62E72">
        <w:rPr>
          <w:rFonts w:ascii="Times New Roman" w:hAnsi="Times New Roman"/>
        </w:rPr>
        <w:t>Equally</w:t>
      </w:r>
      <w:r w:rsidR="004D0C04" w:rsidRPr="004261A9">
        <w:rPr>
          <w:rFonts w:ascii="Times New Roman" w:hAnsi="Times New Roman"/>
        </w:rPr>
        <w:t xml:space="preserve">, individuals are not likely to comply if they doubt </w:t>
      </w:r>
      <w:r w:rsidR="00E66A64" w:rsidRPr="004261A9">
        <w:rPr>
          <w:rFonts w:ascii="Times New Roman" w:hAnsi="Times New Roman"/>
        </w:rPr>
        <w:t xml:space="preserve">their </w:t>
      </w:r>
      <w:r w:rsidR="00C510DF" w:rsidRPr="004261A9">
        <w:rPr>
          <w:rFonts w:ascii="Times New Roman" w:hAnsi="Times New Roman"/>
        </w:rPr>
        <w:t>fellow</w:t>
      </w:r>
      <w:r w:rsidR="004D0C04" w:rsidRPr="004261A9">
        <w:rPr>
          <w:rFonts w:ascii="Times New Roman" w:hAnsi="Times New Roman"/>
        </w:rPr>
        <w:t xml:space="preserve"> citizens’ </w:t>
      </w:r>
      <w:r w:rsidR="00C510DF" w:rsidRPr="004261A9">
        <w:rPr>
          <w:rFonts w:ascii="Times New Roman" w:hAnsi="Times New Roman"/>
        </w:rPr>
        <w:t xml:space="preserve">truthful </w:t>
      </w:r>
      <w:r w:rsidR="00614BCC" w:rsidRPr="004261A9">
        <w:rPr>
          <w:rFonts w:ascii="Times New Roman" w:hAnsi="Times New Roman"/>
        </w:rPr>
        <w:t>tax compliance</w:t>
      </w:r>
      <w:r w:rsidR="00E66A64" w:rsidRPr="004261A9">
        <w:rPr>
          <w:rFonts w:ascii="Times New Roman" w:hAnsi="Times New Roman"/>
        </w:rPr>
        <w:t xml:space="preserve">. </w:t>
      </w:r>
      <w:r w:rsidR="00AE3ABE" w:rsidRPr="004261A9">
        <w:rPr>
          <w:rFonts w:ascii="Times New Roman" w:hAnsi="Times New Roman"/>
        </w:rPr>
        <w:t xml:space="preserve">Turning to neuroscience could further explain the decision to cooperate using neuroimages in an experimental game setting. </w:t>
      </w:r>
      <w:r w:rsidR="00614BCC" w:rsidRPr="004261A9">
        <w:rPr>
          <w:rFonts w:ascii="Times New Roman" w:hAnsi="Times New Roman"/>
        </w:rPr>
        <w:t>The</w:t>
      </w:r>
      <w:r w:rsidR="0077507E" w:rsidRPr="004261A9">
        <w:rPr>
          <w:rFonts w:ascii="Times New Roman" w:hAnsi="Times New Roman"/>
        </w:rPr>
        <w:t xml:space="preserve"> </w:t>
      </w:r>
      <w:r w:rsidR="00C87784" w:rsidRPr="004261A9">
        <w:rPr>
          <w:rFonts w:ascii="Times New Roman" w:hAnsi="Times New Roman"/>
        </w:rPr>
        <w:t xml:space="preserve">images revealed </w:t>
      </w:r>
      <w:r w:rsidR="0077507E" w:rsidRPr="004261A9">
        <w:rPr>
          <w:rFonts w:ascii="Times New Roman" w:hAnsi="Times New Roman"/>
        </w:rPr>
        <w:t xml:space="preserve">different patterns of brain activity between </w:t>
      </w:r>
      <w:r w:rsidR="00C87784" w:rsidRPr="004261A9">
        <w:rPr>
          <w:rFonts w:ascii="Times New Roman" w:hAnsi="Times New Roman"/>
        </w:rPr>
        <w:t xml:space="preserve">those who decided to cooperate and those who decided not to. </w:t>
      </w:r>
      <w:r w:rsidR="0002509F" w:rsidRPr="004261A9">
        <w:rPr>
          <w:rFonts w:ascii="Times New Roman" w:hAnsi="Times New Roman"/>
        </w:rPr>
        <w:t>To illustrate, areas</w:t>
      </w:r>
      <w:r w:rsidR="0002509F" w:rsidRPr="004261A9">
        <w:rPr>
          <w:rStyle w:val="FootnoteReference"/>
          <w:rFonts w:ascii="Times New Roman" w:hAnsi="Times New Roman"/>
        </w:rPr>
        <w:footnoteReference w:id="8"/>
      </w:r>
      <w:r w:rsidR="0002509F" w:rsidRPr="004261A9">
        <w:rPr>
          <w:rFonts w:ascii="Times New Roman" w:hAnsi="Times New Roman"/>
        </w:rPr>
        <w:t xml:space="preserve"> activated through increased blood flow in cooperators’ brains are “commonly associated with calculation, visual recognition and social situations”. </w:t>
      </w:r>
      <w:r w:rsidR="00434FBE" w:rsidRPr="004261A9">
        <w:rPr>
          <w:rFonts w:ascii="Times New Roman" w:hAnsi="Times New Roman"/>
        </w:rPr>
        <w:t>Neuroimages</w:t>
      </w:r>
      <w:r w:rsidR="008A7D8F" w:rsidRPr="004261A9">
        <w:rPr>
          <w:rFonts w:ascii="Times New Roman" w:hAnsi="Times New Roman"/>
        </w:rPr>
        <w:t xml:space="preserve"> of the brain</w:t>
      </w:r>
      <w:r w:rsidR="00434FBE" w:rsidRPr="004261A9">
        <w:rPr>
          <w:rFonts w:ascii="Times New Roman" w:hAnsi="Times New Roman"/>
        </w:rPr>
        <w:t xml:space="preserve"> further indicated fundamental differences between cooperators and non-cooperators in terms of the perception mechanism of the problem as either being</w:t>
      </w:r>
      <w:r w:rsidR="008A7D8F" w:rsidRPr="004261A9">
        <w:rPr>
          <w:rFonts w:ascii="Times New Roman" w:hAnsi="Times New Roman"/>
        </w:rPr>
        <w:t xml:space="preserve"> a calculative self-interest or a </w:t>
      </w:r>
      <w:r w:rsidR="00434FBE" w:rsidRPr="004261A9">
        <w:rPr>
          <w:rFonts w:ascii="Times New Roman" w:hAnsi="Times New Roman"/>
        </w:rPr>
        <w:t xml:space="preserve">social problem. </w:t>
      </w:r>
      <w:r w:rsidR="00E77A20" w:rsidRPr="004261A9">
        <w:rPr>
          <w:rFonts w:ascii="Times New Roman" w:hAnsi="Times New Roman"/>
        </w:rPr>
        <w:t xml:space="preserve">Therefore, governments do have the </w:t>
      </w:r>
      <w:r w:rsidR="00C4665D" w:rsidRPr="004261A9">
        <w:rPr>
          <w:rFonts w:ascii="Times New Roman" w:hAnsi="Times New Roman"/>
        </w:rPr>
        <w:t>capacity</w:t>
      </w:r>
      <w:r w:rsidR="00E77A20" w:rsidRPr="004261A9">
        <w:rPr>
          <w:rFonts w:ascii="Times New Roman" w:hAnsi="Times New Roman"/>
        </w:rPr>
        <w:t xml:space="preserve"> to manipulate their citizens’ </w:t>
      </w:r>
      <w:r w:rsidR="00E03036" w:rsidRPr="004261A9">
        <w:rPr>
          <w:rFonts w:ascii="Times New Roman" w:hAnsi="Times New Roman"/>
        </w:rPr>
        <w:t>“</w:t>
      </w:r>
      <w:r w:rsidR="00E77A20" w:rsidRPr="004261A9">
        <w:rPr>
          <w:rFonts w:ascii="Times New Roman" w:hAnsi="Times New Roman"/>
        </w:rPr>
        <w:t>perception of the problem</w:t>
      </w:r>
      <w:r w:rsidR="00E03036" w:rsidRPr="004261A9">
        <w:rPr>
          <w:rFonts w:ascii="Times New Roman" w:hAnsi="Times New Roman"/>
        </w:rPr>
        <w:t>”</w:t>
      </w:r>
      <w:r w:rsidR="00E77A20" w:rsidRPr="004261A9">
        <w:rPr>
          <w:rFonts w:ascii="Times New Roman" w:hAnsi="Times New Roman"/>
        </w:rPr>
        <w:t xml:space="preserve"> by respectfully treating the </w:t>
      </w:r>
      <w:r w:rsidR="00E03036" w:rsidRPr="004261A9">
        <w:rPr>
          <w:rFonts w:ascii="Times New Roman" w:hAnsi="Times New Roman"/>
        </w:rPr>
        <w:t>taxpayer</w:t>
      </w:r>
      <w:r w:rsidR="00E77A20" w:rsidRPr="004261A9">
        <w:rPr>
          <w:rFonts w:ascii="Times New Roman" w:hAnsi="Times New Roman"/>
        </w:rPr>
        <w:t xml:space="preserve">. In fact, the Egyptian Tax Authority has been trying to achieve this through the </w:t>
      </w:r>
      <w:r w:rsidR="00A62E72">
        <w:rPr>
          <w:rFonts w:ascii="Times New Roman" w:hAnsi="Times New Roman"/>
        </w:rPr>
        <w:t>tax reforms</w:t>
      </w:r>
      <w:r w:rsidR="00E77A20" w:rsidRPr="004261A9">
        <w:rPr>
          <w:rFonts w:ascii="Times New Roman" w:hAnsi="Times New Roman"/>
        </w:rPr>
        <w:t>. When an error is detected,</w:t>
      </w:r>
      <w:r w:rsidR="00E03036" w:rsidRPr="004261A9">
        <w:rPr>
          <w:rFonts w:ascii="Times New Roman" w:hAnsi="Times New Roman"/>
        </w:rPr>
        <w:t xml:space="preserve"> instead of immediately suspecting an</w:t>
      </w:r>
      <w:r w:rsidR="00E77A20" w:rsidRPr="004261A9">
        <w:rPr>
          <w:rFonts w:ascii="Times New Roman" w:hAnsi="Times New Roman"/>
        </w:rPr>
        <w:t xml:space="preserve"> intention for </w:t>
      </w:r>
      <w:r w:rsidR="00E03036" w:rsidRPr="004261A9">
        <w:rPr>
          <w:rFonts w:ascii="Times New Roman" w:hAnsi="Times New Roman"/>
        </w:rPr>
        <w:t xml:space="preserve">cheating, </w:t>
      </w:r>
      <w:r w:rsidR="00E77A20" w:rsidRPr="004261A9">
        <w:rPr>
          <w:rFonts w:ascii="Times New Roman" w:hAnsi="Times New Roman"/>
        </w:rPr>
        <w:t xml:space="preserve">the authority has at least promised to </w:t>
      </w:r>
      <w:r w:rsidR="00640496" w:rsidRPr="004261A9">
        <w:rPr>
          <w:rFonts w:ascii="Times New Roman" w:hAnsi="Times New Roman"/>
        </w:rPr>
        <w:t xml:space="preserve">give the </w:t>
      </w:r>
      <w:r w:rsidR="00E03036" w:rsidRPr="004261A9">
        <w:rPr>
          <w:rFonts w:ascii="Times New Roman" w:hAnsi="Times New Roman"/>
        </w:rPr>
        <w:t>taxpayer</w:t>
      </w:r>
      <w:r w:rsidR="00640496" w:rsidRPr="004261A9">
        <w:rPr>
          <w:rFonts w:ascii="Times New Roman" w:hAnsi="Times New Roman"/>
        </w:rPr>
        <w:t xml:space="preserve"> the benefit of the doubt and further investigate </w:t>
      </w:r>
      <w:r w:rsidR="00927F8D" w:rsidRPr="004261A9">
        <w:rPr>
          <w:rFonts w:ascii="Times New Roman" w:hAnsi="Times New Roman"/>
        </w:rPr>
        <w:t xml:space="preserve">into </w:t>
      </w:r>
      <w:r w:rsidR="00640496" w:rsidRPr="004261A9">
        <w:rPr>
          <w:rFonts w:ascii="Times New Roman" w:hAnsi="Times New Roman"/>
        </w:rPr>
        <w:t xml:space="preserve">the </w:t>
      </w:r>
      <w:r w:rsidR="00E03036" w:rsidRPr="004261A9">
        <w:rPr>
          <w:rFonts w:ascii="Times New Roman" w:hAnsi="Times New Roman"/>
        </w:rPr>
        <w:t>matter.</w:t>
      </w:r>
      <w:r w:rsidR="00640496" w:rsidRPr="004261A9">
        <w:rPr>
          <w:rFonts w:ascii="Times New Roman" w:hAnsi="Times New Roman"/>
        </w:rPr>
        <w:t xml:space="preserve">  </w:t>
      </w:r>
      <w:r w:rsidR="00E77C05" w:rsidRPr="004261A9">
        <w:rPr>
          <w:rFonts w:ascii="Times New Roman" w:hAnsi="Times New Roman"/>
        </w:rPr>
        <w:t>Moving to a self-assessment method, a</w:t>
      </w:r>
      <w:r w:rsidR="0056652C" w:rsidRPr="004261A9">
        <w:rPr>
          <w:rFonts w:ascii="Times New Roman" w:hAnsi="Times New Roman"/>
        </w:rPr>
        <w:t>pproaching tax</w:t>
      </w:r>
      <w:r w:rsidR="00E03036" w:rsidRPr="004261A9">
        <w:rPr>
          <w:rFonts w:ascii="Times New Roman" w:hAnsi="Times New Roman"/>
        </w:rPr>
        <w:t xml:space="preserve">payers and establishing a “direct” relation of promised mutual respect through an intensive advertising campaign has </w:t>
      </w:r>
      <w:r w:rsidR="00E77C05" w:rsidRPr="004261A9">
        <w:rPr>
          <w:rFonts w:ascii="Times New Roman" w:hAnsi="Times New Roman"/>
        </w:rPr>
        <w:t xml:space="preserve">contributed to turning </w:t>
      </w:r>
      <w:r w:rsidR="00C4665D" w:rsidRPr="004261A9">
        <w:rPr>
          <w:rFonts w:ascii="Times New Roman" w:hAnsi="Times New Roman"/>
        </w:rPr>
        <w:t xml:space="preserve">some </w:t>
      </w:r>
      <w:r w:rsidR="00E77C05" w:rsidRPr="004261A9">
        <w:rPr>
          <w:rFonts w:ascii="Times New Roman" w:hAnsi="Times New Roman"/>
        </w:rPr>
        <w:t>non-cooperators into cooperators and upholding the tax morale</w:t>
      </w:r>
      <w:r w:rsidR="0056652C" w:rsidRPr="004261A9">
        <w:rPr>
          <w:rFonts w:ascii="Times New Roman" w:hAnsi="Times New Roman"/>
        </w:rPr>
        <w:t xml:space="preserve"> in Egypt</w:t>
      </w:r>
      <w:r w:rsidR="00E77C05" w:rsidRPr="004261A9">
        <w:rPr>
          <w:rFonts w:ascii="Times New Roman" w:hAnsi="Times New Roman"/>
        </w:rPr>
        <w:t xml:space="preserve">. </w:t>
      </w:r>
    </w:p>
    <w:p w:rsidR="00E11DBB" w:rsidRPr="004261A9" w:rsidRDefault="00B63C16" w:rsidP="00B63C16">
      <w:pPr>
        <w:spacing w:after="0" w:line="360" w:lineRule="auto"/>
        <w:ind w:firstLine="720"/>
        <w:jc w:val="both"/>
        <w:rPr>
          <w:rFonts w:ascii="Times New Roman" w:hAnsi="Times New Roman"/>
        </w:rPr>
      </w:pPr>
      <w:r w:rsidRPr="004261A9">
        <w:rPr>
          <w:rFonts w:ascii="Times New Roman" w:hAnsi="Times New Roman"/>
        </w:rPr>
        <w:t>A further</w:t>
      </w:r>
      <w:r w:rsidR="009841DE" w:rsidRPr="004261A9">
        <w:rPr>
          <w:rFonts w:ascii="Times New Roman" w:hAnsi="Times New Roman"/>
        </w:rPr>
        <w:t xml:space="preserve"> innovative </w:t>
      </w:r>
      <w:r w:rsidRPr="004261A9">
        <w:rPr>
          <w:rFonts w:ascii="Times New Roman" w:hAnsi="Times New Roman"/>
        </w:rPr>
        <w:t>development</w:t>
      </w:r>
      <w:r w:rsidR="009841DE" w:rsidRPr="004261A9">
        <w:rPr>
          <w:rFonts w:ascii="Times New Roman" w:hAnsi="Times New Roman"/>
        </w:rPr>
        <w:t xml:space="preserve"> in neuroeconomics was the study of the scientific basis for trust</w:t>
      </w:r>
      <w:r w:rsidR="00971A60" w:rsidRPr="004261A9">
        <w:rPr>
          <w:rFonts w:ascii="Times New Roman" w:hAnsi="Times New Roman"/>
        </w:rPr>
        <w:t xml:space="preserve">. </w:t>
      </w:r>
      <w:r w:rsidR="00192FE4" w:rsidRPr="004261A9">
        <w:rPr>
          <w:rFonts w:ascii="Times New Roman" w:hAnsi="Times New Roman"/>
        </w:rPr>
        <w:t>The act of entrusting strangers with money</w:t>
      </w:r>
      <w:r w:rsidR="00903EC4" w:rsidRPr="004261A9">
        <w:rPr>
          <w:rFonts w:ascii="Times New Roman" w:hAnsi="Times New Roman"/>
        </w:rPr>
        <w:t xml:space="preserve"> (or taxes)</w:t>
      </w:r>
      <w:r w:rsidR="00192FE4" w:rsidRPr="004261A9">
        <w:rPr>
          <w:rFonts w:ascii="Times New Roman" w:hAnsi="Times New Roman"/>
        </w:rPr>
        <w:t xml:space="preserve"> </w:t>
      </w:r>
      <w:r w:rsidR="00420353" w:rsidRPr="004261A9">
        <w:rPr>
          <w:rFonts w:ascii="Times New Roman" w:hAnsi="Times New Roman"/>
        </w:rPr>
        <w:t xml:space="preserve">opposed classical economic and game theories, which assumed rationality, self-interest and the lack of trustworthiness. Thus, the need for a neuroscientific explanation of trust arose. The results of several controlled experiments involving trust proved that trust is chemical. Entrusting strangers with money </w:t>
      </w:r>
      <w:r w:rsidR="008C677D" w:rsidRPr="004261A9">
        <w:rPr>
          <w:rFonts w:ascii="Times New Roman" w:hAnsi="Times New Roman"/>
        </w:rPr>
        <w:t>is received at the brain as a positive social sign, resulting in a considerable rel</w:t>
      </w:r>
      <w:r w:rsidR="0080756F" w:rsidRPr="004261A9">
        <w:rPr>
          <w:rFonts w:ascii="Times New Roman" w:hAnsi="Times New Roman"/>
        </w:rPr>
        <w:t>e</w:t>
      </w:r>
      <w:r w:rsidR="008C677D" w:rsidRPr="004261A9">
        <w:rPr>
          <w:rFonts w:ascii="Times New Roman" w:hAnsi="Times New Roman"/>
        </w:rPr>
        <w:t xml:space="preserve">ase of a hormone called “oxytocin” (OT). </w:t>
      </w:r>
      <w:r w:rsidR="0080756F" w:rsidRPr="004261A9">
        <w:rPr>
          <w:rFonts w:ascii="Times New Roman" w:hAnsi="Times New Roman"/>
        </w:rPr>
        <w:t>In short, the more a person feels entrusted, the higher the OT</w:t>
      </w:r>
      <w:r w:rsidR="00854E67" w:rsidRPr="004261A9">
        <w:rPr>
          <w:rFonts w:ascii="Times New Roman" w:hAnsi="Times New Roman"/>
        </w:rPr>
        <w:t xml:space="preserve"> is</w:t>
      </w:r>
      <w:r w:rsidR="0080756F" w:rsidRPr="004261A9">
        <w:rPr>
          <w:rFonts w:ascii="Times New Roman" w:hAnsi="Times New Roman"/>
        </w:rPr>
        <w:t xml:space="preserve"> </w:t>
      </w:r>
      <w:r w:rsidR="00854E67" w:rsidRPr="004261A9">
        <w:rPr>
          <w:rFonts w:ascii="Times New Roman" w:hAnsi="Times New Roman"/>
        </w:rPr>
        <w:t>released</w:t>
      </w:r>
      <w:r w:rsidR="0080756F" w:rsidRPr="004261A9">
        <w:rPr>
          <w:rFonts w:ascii="Times New Roman" w:hAnsi="Times New Roman"/>
        </w:rPr>
        <w:t xml:space="preserve"> </w:t>
      </w:r>
      <w:r w:rsidRPr="004261A9">
        <w:rPr>
          <w:rFonts w:ascii="Times New Roman" w:hAnsi="Times New Roman"/>
        </w:rPr>
        <w:t xml:space="preserve">in their </w:t>
      </w:r>
      <w:r w:rsidR="00854E67" w:rsidRPr="004261A9">
        <w:rPr>
          <w:rFonts w:ascii="Times New Roman" w:hAnsi="Times New Roman"/>
        </w:rPr>
        <w:t>brain, which in turn fosters social bonding of the entrusted with another stranger. Whereas stress prevents OT release, “familiarity and a history of positive interactions will more easily stimulate OT release</w:t>
      </w:r>
      <w:r w:rsidR="00854E67" w:rsidRPr="004261A9">
        <w:rPr>
          <w:rStyle w:val="FootnoteReference"/>
          <w:rFonts w:ascii="Times New Roman" w:hAnsi="Times New Roman"/>
        </w:rPr>
        <w:footnoteReference w:id="9"/>
      </w:r>
      <w:r w:rsidR="00854E67" w:rsidRPr="004261A9">
        <w:rPr>
          <w:rFonts w:ascii="Times New Roman" w:hAnsi="Times New Roman"/>
        </w:rPr>
        <w:t>”.</w:t>
      </w:r>
      <w:r w:rsidR="005858FD" w:rsidRPr="004261A9">
        <w:rPr>
          <w:rFonts w:ascii="Times New Roman" w:hAnsi="Times New Roman"/>
        </w:rPr>
        <w:t xml:space="preserve"> </w:t>
      </w:r>
      <w:r w:rsidR="007D78EA" w:rsidRPr="004261A9">
        <w:rPr>
          <w:rFonts w:ascii="Times New Roman" w:hAnsi="Times New Roman"/>
        </w:rPr>
        <w:t>Besides, understanding the other</w:t>
      </w:r>
      <w:r w:rsidR="009C5E6F" w:rsidRPr="004261A9">
        <w:rPr>
          <w:rFonts w:ascii="Times New Roman" w:hAnsi="Times New Roman"/>
        </w:rPr>
        <w:t xml:space="preserve"> party</w:t>
      </w:r>
      <w:r w:rsidR="007D78EA" w:rsidRPr="004261A9">
        <w:rPr>
          <w:rFonts w:ascii="Times New Roman" w:hAnsi="Times New Roman"/>
        </w:rPr>
        <w:t xml:space="preserve"> further raises OT levels and fosters trust. In the context of the Egyptian tax reforms, the simplification of the tax policies and making it understandable to a wider audience must have contributed to increased release of OT</w:t>
      </w:r>
      <w:r w:rsidR="00E11DBB" w:rsidRPr="004261A9">
        <w:rPr>
          <w:rFonts w:ascii="Times New Roman" w:hAnsi="Times New Roman"/>
        </w:rPr>
        <w:t xml:space="preserve"> and thus higher tax compliance</w:t>
      </w:r>
      <w:r w:rsidR="007D78EA" w:rsidRPr="004261A9">
        <w:rPr>
          <w:rFonts w:ascii="Times New Roman" w:hAnsi="Times New Roman"/>
        </w:rPr>
        <w:t xml:space="preserve">. </w:t>
      </w:r>
      <w:r w:rsidR="009912D5" w:rsidRPr="004261A9">
        <w:rPr>
          <w:rFonts w:ascii="Times New Roman" w:hAnsi="Times New Roman"/>
        </w:rPr>
        <w:t xml:space="preserve">The renowned neuroeconomist </w:t>
      </w:r>
      <w:r w:rsidR="005858FD" w:rsidRPr="004261A9">
        <w:rPr>
          <w:rFonts w:ascii="Times New Roman" w:hAnsi="Times New Roman"/>
        </w:rPr>
        <w:t>Paul Zak</w:t>
      </w:r>
      <w:r w:rsidR="005858FD" w:rsidRPr="004261A9">
        <w:rPr>
          <w:rStyle w:val="FootnoteReference"/>
          <w:rFonts w:ascii="Times New Roman" w:hAnsi="Times New Roman"/>
        </w:rPr>
        <w:footnoteReference w:id="10"/>
      </w:r>
      <w:r w:rsidR="005858FD" w:rsidRPr="004261A9">
        <w:rPr>
          <w:rFonts w:ascii="Times New Roman" w:hAnsi="Times New Roman"/>
        </w:rPr>
        <w:t xml:space="preserve"> measured trust in 38 countries by asking people whether they believed citizens in their country</w:t>
      </w:r>
      <w:r w:rsidR="004C7891" w:rsidRPr="004261A9">
        <w:rPr>
          <w:rFonts w:ascii="Times New Roman" w:hAnsi="Times New Roman"/>
        </w:rPr>
        <w:t xml:space="preserve"> are trustworth</w:t>
      </w:r>
      <w:r w:rsidR="007D78EA" w:rsidRPr="004261A9">
        <w:rPr>
          <w:rFonts w:ascii="Times New Roman" w:hAnsi="Times New Roman"/>
        </w:rPr>
        <w:t>y. W</w:t>
      </w:r>
      <w:r w:rsidR="005858FD" w:rsidRPr="004261A9">
        <w:rPr>
          <w:rFonts w:ascii="Times New Roman" w:hAnsi="Times New Roman"/>
        </w:rPr>
        <w:t>ith 65% b</w:t>
      </w:r>
      <w:r w:rsidR="004C7891" w:rsidRPr="004261A9">
        <w:rPr>
          <w:rFonts w:ascii="Times New Roman" w:hAnsi="Times New Roman"/>
        </w:rPr>
        <w:t>eing the highest and 32</w:t>
      </w:r>
      <w:r w:rsidR="005858FD" w:rsidRPr="004261A9">
        <w:rPr>
          <w:rFonts w:ascii="Times New Roman" w:hAnsi="Times New Roman"/>
        </w:rPr>
        <w:t>% the lowes</w:t>
      </w:r>
      <w:r w:rsidR="007D78EA" w:rsidRPr="004261A9">
        <w:rPr>
          <w:rFonts w:ascii="Times New Roman" w:hAnsi="Times New Roman"/>
        </w:rPr>
        <w:t>t, E</w:t>
      </w:r>
      <w:r w:rsidR="004C7891" w:rsidRPr="004261A9">
        <w:rPr>
          <w:rFonts w:ascii="Times New Roman" w:hAnsi="Times New Roman"/>
        </w:rPr>
        <w:t>gypt ranged at 40%</w:t>
      </w:r>
      <w:r w:rsidR="00922246" w:rsidRPr="004261A9">
        <w:rPr>
          <w:rFonts w:ascii="Times New Roman" w:hAnsi="Times New Roman"/>
        </w:rPr>
        <w:t>,</w:t>
      </w:r>
      <w:r w:rsidR="004C7891" w:rsidRPr="004261A9">
        <w:rPr>
          <w:rFonts w:ascii="Times New Roman" w:hAnsi="Times New Roman"/>
        </w:rPr>
        <w:t xml:space="preserve"> showing a moderate degree of trust among its citizens. </w:t>
      </w:r>
      <w:r w:rsidR="00017700" w:rsidRPr="004261A9">
        <w:rPr>
          <w:rFonts w:ascii="Times New Roman" w:hAnsi="Times New Roman"/>
        </w:rPr>
        <w:t xml:space="preserve">Further increasing this percentage would be in the best benefit of the tax authorities. </w:t>
      </w:r>
    </w:p>
    <w:p w:rsidR="00DA2311" w:rsidRPr="008A40E6" w:rsidRDefault="00E11DBB" w:rsidP="00A62E72">
      <w:pPr>
        <w:spacing w:after="160" w:line="360" w:lineRule="auto"/>
        <w:ind w:firstLine="720"/>
        <w:jc w:val="both"/>
        <w:rPr>
          <w:rFonts w:ascii="Times New Roman" w:hAnsi="Times New Roman"/>
        </w:rPr>
      </w:pPr>
      <w:r w:rsidRPr="004261A9">
        <w:rPr>
          <w:rFonts w:ascii="Times New Roman" w:hAnsi="Times New Roman"/>
        </w:rPr>
        <w:t xml:space="preserve">A final concept that has long been discussed in economic literature </w:t>
      </w:r>
      <w:r w:rsidR="00F75B0C" w:rsidRPr="004261A9">
        <w:rPr>
          <w:rFonts w:ascii="Times New Roman" w:hAnsi="Times New Roman"/>
        </w:rPr>
        <w:t xml:space="preserve">and is related to tax evasion </w:t>
      </w:r>
      <w:r w:rsidRPr="004261A9">
        <w:rPr>
          <w:rFonts w:ascii="Times New Roman" w:hAnsi="Times New Roman"/>
        </w:rPr>
        <w:t xml:space="preserve">is that of inconsistent preferences by individuals over time. </w:t>
      </w:r>
      <w:r w:rsidR="00F75B0C" w:rsidRPr="004261A9">
        <w:rPr>
          <w:rFonts w:ascii="Times New Roman" w:hAnsi="Times New Roman"/>
        </w:rPr>
        <w:t xml:space="preserve">This phenomenon is often referred to as “hyperbolic discounting” because discount rates are higher between periods in the near future than those in the distant future. To illustrate, </w:t>
      </w:r>
      <w:r w:rsidR="00D44817" w:rsidRPr="004261A9">
        <w:rPr>
          <w:rFonts w:ascii="Times New Roman" w:hAnsi="Times New Roman"/>
        </w:rPr>
        <w:t xml:space="preserve">if an individual is given the choice between </w:t>
      </w:r>
      <w:r w:rsidR="00162EC3" w:rsidRPr="004261A9">
        <w:rPr>
          <w:rFonts w:ascii="Times New Roman" w:hAnsi="Times New Roman"/>
        </w:rPr>
        <w:t xml:space="preserve">10LE today and 11LE tomorrow, they </w:t>
      </w:r>
      <w:r w:rsidR="00D44817" w:rsidRPr="004261A9">
        <w:rPr>
          <w:rFonts w:ascii="Times New Roman" w:hAnsi="Times New Roman"/>
        </w:rPr>
        <w:t>would cho</w:t>
      </w:r>
      <w:r w:rsidR="00162EC3" w:rsidRPr="004261A9">
        <w:rPr>
          <w:rFonts w:ascii="Times New Roman" w:hAnsi="Times New Roman"/>
        </w:rPr>
        <w:t xml:space="preserve">ose the 10LE. In contrast, if they </w:t>
      </w:r>
      <w:r w:rsidR="00CA5279" w:rsidRPr="004261A9">
        <w:rPr>
          <w:rFonts w:ascii="Times New Roman" w:hAnsi="Times New Roman"/>
        </w:rPr>
        <w:t>were</w:t>
      </w:r>
      <w:r w:rsidR="00D44817" w:rsidRPr="004261A9">
        <w:rPr>
          <w:rFonts w:ascii="Times New Roman" w:hAnsi="Times New Roman"/>
        </w:rPr>
        <w:t xml:space="preserve"> offered the same 10LE a year from now or </w:t>
      </w:r>
      <w:r w:rsidR="00CA5279" w:rsidRPr="004261A9">
        <w:rPr>
          <w:rFonts w:ascii="Times New Roman" w:hAnsi="Times New Roman"/>
        </w:rPr>
        <w:t xml:space="preserve">after </w:t>
      </w:r>
      <w:r w:rsidR="00D44817" w:rsidRPr="004261A9">
        <w:rPr>
          <w:rFonts w:ascii="Times New Roman" w:hAnsi="Times New Roman"/>
        </w:rPr>
        <w:t xml:space="preserve">11LE </w:t>
      </w:r>
      <w:r w:rsidR="00162EC3" w:rsidRPr="004261A9">
        <w:rPr>
          <w:rFonts w:ascii="Times New Roman" w:hAnsi="Times New Roman"/>
        </w:rPr>
        <w:t xml:space="preserve">a year and one day, they </w:t>
      </w:r>
      <w:r w:rsidR="00D44817" w:rsidRPr="004261A9">
        <w:rPr>
          <w:rFonts w:ascii="Times New Roman" w:hAnsi="Times New Roman"/>
        </w:rPr>
        <w:t xml:space="preserve">would choose the 11LE. </w:t>
      </w:r>
      <w:r w:rsidR="00F75B0C" w:rsidRPr="004261A9">
        <w:rPr>
          <w:rFonts w:ascii="Times New Roman" w:hAnsi="Times New Roman"/>
        </w:rPr>
        <w:t xml:space="preserve"> </w:t>
      </w:r>
      <w:r w:rsidR="005A5A58" w:rsidRPr="004261A9">
        <w:rPr>
          <w:rFonts w:ascii="Times New Roman" w:hAnsi="Times New Roman"/>
        </w:rPr>
        <w:t>This is interesting to the scope of this paper because we would expect individuals to evade taxes today, if the benefits</w:t>
      </w:r>
      <w:r w:rsidR="006E1D99" w:rsidRPr="004261A9">
        <w:rPr>
          <w:rFonts w:ascii="Times New Roman" w:hAnsi="Times New Roman"/>
        </w:rPr>
        <w:t xml:space="preserve"> of evasion</w:t>
      </w:r>
      <w:r w:rsidR="005A5A58" w:rsidRPr="004261A9">
        <w:rPr>
          <w:rFonts w:ascii="Times New Roman" w:hAnsi="Times New Roman"/>
        </w:rPr>
        <w:t xml:space="preserve"> </w:t>
      </w:r>
      <w:r w:rsidR="006E1D99" w:rsidRPr="004261A9">
        <w:rPr>
          <w:rFonts w:ascii="Times New Roman" w:hAnsi="Times New Roman"/>
        </w:rPr>
        <w:t xml:space="preserve">are felt </w:t>
      </w:r>
      <w:r w:rsidR="000C6A8E" w:rsidRPr="004261A9">
        <w:rPr>
          <w:rFonts w:ascii="Times New Roman" w:hAnsi="Times New Roman"/>
        </w:rPr>
        <w:t xml:space="preserve">immediately and potential </w:t>
      </w:r>
      <w:r w:rsidR="006E1D99" w:rsidRPr="004261A9">
        <w:rPr>
          <w:rFonts w:ascii="Times New Roman" w:hAnsi="Times New Roman"/>
        </w:rPr>
        <w:t>punishments</w:t>
      </w:r>
      <w:r w:rsidR="000C6A8E" w:rsidRPr="004261A9">
        <w:rPr>
          <w:rFonts w:ascii="Times New Roman" w:hAnsi="Times New Roman"/>
        </w:rPr>
        <w:t xml:space="preserve"> felt</w:t>
      </w:r>
      <w:r w:rsidR="006E1D99" w:rsidRPr="004261A9">
        <w:rPr>
          <w:rFonts w:ascii="Times New Roman" w:hAnsi="Times New Roman"/>
        </w:rPr>
        <w:t xml:space="preserve"> in the future</w:t>
      </w:r>
      <w:r w:rsidR="009360B3" w:rsidRPr="004261A9">
        <w:rPr>
          <w:rFonts w:ascii="Times New Roman" w:hAnsi="Times New Roman"/>
        </w:rPr>
        <w:t xml:space="preserve"> - </w:t>
      </w:r>
      <w:r w:rsidR="006E1D99" w:rsidRPr="004261A9">
        <w:rPr>
          <w:rFonts w:ascii="Times New Roman" w:hAnsi="Times New Roman"/>
        </w:rPr>
        <w:t xml:space="preserve">as opposed to an enforcement mechanism where both benefits and punishments </w:t>
      </w:r>
      <w:r w:rsidR="000C6A8E" w:rsidRPr="004261A9">
        <w:rPr>
          <w:rFonts w:ascii="Times New Roman" w:hAnsi="Times New Roman"/>
        </w:rPr>
        <w:t>are</w:t>
      </w:r>
      <w:r w:rsidR="009360B3" w:rsidRPr="004261A9">
        <w:rPr>
          <w:rFonts w:ascii="Times New Roman" w:hAnsi="Times New Roman"/>
        </w:rPr>
        <w:t xml:space="preserve"> felt in the same time period</w:t>
      </w:r>
      <w:r w:rsidR="006E1D99" w:rsidRPr="004261A9">
        <w:rPr>
          <w:rFonts w:ascii="Times New Roman" w:hAnsi="Times New Roman"/>
        </w:rPr>
        <w:t xml:space="preserve">. </w:t>
      </w:r>
      <w:r w:rsidR="009360B3" w:rsidRPr="004261A9">
        <w:rPr>
          <w:rFonts w:ascii="Times New Roman" w:hAnsi="Times New Roman"/>
        </w:rPr>
        <w:t>Neuros</w:t>
      </w:r>
      <w:r w:rsidR="00071FE2" w:rsidRPr="004261A9">
        <w:rPr>
          <w:rFonts w:ascii="Times New Roman" w:hAnsi="Times New Roman"/>
        </w:rPr>
        <w:t xml:space="preserve">ciences explain this through the scarcity of cognitive resources, particularly in long-term planning. </w:t>
      </w:r>
      <w:r w:rsidR="00987CF3" w:rsidRPr="004261A9">
        <w:rPr>
          <w:rFonts w:ascii="Times New Roman" w:hAnsi="Times New Roman"/>
        </w:rPr>
        <w:t>Efforts by the government to enforce effective and immediate</w:t>
      </w:r>
      <w:r w:rsidR="00FC0509" w:rsidRPr="004261A9">
        <w:rPr>
          <w:rFonts w:ascii="Times New Roman" w:hAnsi="Times New Roman"/>
        </w:rPr>
        <w:t xml:space="preserve"> tax refund</w:t>
      </w:r>
      <w:r w:rsidR="00987CF3" w:rsidRPr="004261A9">
        <w:rPr>
          <w:rFonts w:ascii="Times New Roman" w:hAnsi="Times New Roman"/>
        </w:rPr>
        <w:t xml:space="preserve"> as well as tax penalty methods </w:t>
      </w:r>
      <w:r w:rsidR="00FC0509" w:rsidRPr="004261A9">
        <w:rPr>
          <w:rFonts w:ascii="Times New Roman" w:hAnsi="Times New Roman"/>
        </w:rPr>
        <w:t xml:space="preserve">are directly linked to hyperbolic discounting and </w:t>
      </w:r>
      <w:r w:rsidR="00263BF9" w:rsidRPr="004261A9">
        <w:rPr>
          <w:rFonts w:ascii="Times New Roman" w:hAnsi="Times New Roman"/>
        </w:rPr>
        <w:t>the elements determining the so-called “dictatorship of the present</w:t>
      </w:r>
      <w:r w:rsidR="002E647F" w:rsidRPr="004261A9">
        <w:rPr>
          <w:rStyle w:val="FootnoteReference"/>
          <w:rFonts w:ascii="Times New Roman" w:hAnsi="Times New Roman"/>
        </w:rPr>
        <w:footnoteReference w:id="11"/>
      </w:r>
      <w:r w:rsidR="00263BF9" w:rsidRPr="004261A9">
        <w:rPr>
          <w:rFonts w:ascii="Times New Roman" w:hAnsi="Times New Roman"/>
        </w:rPr>
        <w:t xml:space="preserve"> ”</w:t>
      </w:r>
      <w:r w:rsidR="00987CF3" w:rsidRPr="004261A9">
        <w:rPr>
          <w:rFonts w:ascii="Times New Roman" w:hAnsi="Times New Roman"/>
        </w:rPr>
        <w:t xml:space="preserve">.  </w:t>
      </w:r>
    </w:p>
    <w:p w:rsidR="00A84818" w:rsidRPr="00F628D5" w:rsidRDefault="001D6FAF" w:rsidP="008A40E6">
      <w:pPr>
        <w:spacing w:after="0" w:line="360" w:lineRule="auto"/>
        <w:jc w:val="both"/>
        <w:rPr>
          <w:rFonts w:ascii="Times New Roman" w:hAnsi="Times New Roman"/>
          <w:b/>
          <w:i/>
        </w:rPr>
      </w:pPr>
      <w:r w:rsidRPr="00F628D5">
        <w:rPr>
          <w:rFonts w:ascii="Times New Roman" w:hAnsi="Times New Roman"/>
          <w:b/>
          <w:i/>
        </w:rPr>
        <w:t>The Future of Taxation in Post-Revolution Egypt</w:t>
      </w:r>
    </w:p>
    <w:p w:rsidR="00374225" w:rsidRPr="004261A9" w:rsidRDefault="00A84818" w:rsidP="008A40E6">
      <w:pPr>
        <w:widowControl w:val="0"/>
        <w:autoSpaceDE w:val="0"/>
        <w:autoSpaceDN w:val="0"/>
        <w:adjustRightInd w:val="0"/>
        <w:spacing w:after="0" w:line="360" w:lineRule="auto"/>
        <w:ind w:firstLine="720"/>
        <w:jc w:val="both"/>
        <w:rPr>
          <w:rFonts w:ascii="Times New Roman" w:hAnsi="Times New Roman"/>
        </w:rPr>
      </w:pPr>
      <w:r w:rsidRPr="004261A9">
        <w:rPr>
          <w:rFonts w:ascii="Times New Roman" w:hAnsi="Times New Roman"/>
        </w:rPr>
        <w:t xml:space="preserve">Having provided neuroeconomic explanations of past trends in tax-compliance, it is </w:t>
      </w:r>
      <w:r w:rsidR="009A7A70" w:rsidRPr="004261A9">
        <w:rPr>
          <w:rFonts w:ascii="Times New Roman" w:hAnsi="Times New Roman"/>
        </w:rPr>
        <w:t xml:space="preserve">imperative to </w:t>
      </w:r>
      <w:r w:rsidR="0034493A" w:rsidRPr="004261A9">
        <w:rPr>
          <w:rFonts w:ascii="Times New Roman" w:hAnsi="Times New Roman"/>
        </w:rPr>
        <w:t xml:space="preserve">forecast future trends in taxation in the post-revolution Egypt. Neuroeconomics provides concrete answers in the link between tax compliance and political participation. </w:t>
      </w:r>
      <w:r w:rsidR="00843A91" w:rsidRPr="004261A9">
        <w:rPr>
          <w:rFonts w:ascii="Times New Roman" w:hAnsi="Times New Roman"/>
        </w:rPr>
        <w:t>On the one hand a</w:t>
      </w:r>
      <w:r w:rsidR="0034493A" w:rsidRPr="004261A9">
        <w:rPr>
          <w:rFonts w:ascii="Times New Roman" w:hAnsi="Times New Roman"/>
        </w:rPr>
        <w:t xml:space="preserve">ppeals to patriotism </w:t>
      </w:r>
      <w:r w:rsidR="00843A91" w:rsidRPr="004261A9">
        <w:rPr>
          <w:rFonts w:ascii="Times New Roman" w:hAnsi="Times New Roman"/>
        </w:rPr>
        <w:t xml:space="preserve">foster the release of OT. On the other hand, studies of the tax morale showed a strong positive correlation with the level political participation in terms of democratic decision-making. The “civic duty [of </w:t>
      </w:r>
      <w:r w:rsidR="009145E7" w:rsidRPr="004261A9">
        <w:rPr>
          <w:rFonts w:ascii="Times New Roman" w:hAnsi="Times New Roman"/>
        </w:rPr>
        <w:t>t</w:t>
      </w:r>
      <w:r w:rsidR="00843A91" w:rsidRPr="004261A9">
        <w:rPr>
          <w:rFonts w:ascii="Times New Roman" w:hAnsi="Times New Roman"/>
        </w:rPr>
        <w:t>ax</w:t>
      </w:r>
      <w:r w:rsidR="009145E7" w:rsidRPr="004261A9">
        <w:rPr>
          <w:rFonts w:ascii="Times New Roman" w:hAnsi="Times New Roman"/>
        </w:rPr>
        <w:t xml:space="preserve"> </w:t>
      </w:r>
      <w:r w:rsidR="00843A91" w:rsidRPr="004261A9">
        <w:rPr>
          <w:rFonts w:ascii="Times New Roman" w:hAnsi="Times New Roman"/>
        </w:rPr>
        <w:t>p</w:t>
      </w:r>
      <w:r w:rsidR="009145E7" w:rsidRPr="004261A9">
        <w:rPr>
          <w:rFonts w:ascii="Times New Roman" w:hAnsi="Times New Roman"/>
        </w:rPr>
        <w:t>ay</w:t>
      </w:r>
      <w:r w:rsidR="00843A91" w:rsidRPr="004261A9">
        <w:rPr>
          <w:rFonts w:ascii="Times New Roman" w:hAnsi="Times New Roman"/>
        </w:rPr>
        <w:t>ment] is received more strongly</w:t>
      </w:r>
      <w:r w:rsidR="002437ED" w:rsidRPr="004261A9">
        <w:rPr>
          <w:rFonts w:ascii="Times New Roman" w:hAnsi="Times New Roman"/>
        </w:rPr>
        <w:t>”</w:t>
      </w:r>
      <w:r w:rsidR="009145E7" w:rsidRPr="004261A9">
        <w:rPr>
          <w:rFonts w:ascii="Times New Roman" w:hAnsi="Times New Roman"/>
        </w:rPr>
        <w:t xml:space="preserve"> and a form of “psychological contract” </w:t>
      </w:r>
      <w:r w:rsidR="005F44CC" w:rsidRPr="004261A9">
        <w:rPr>
          <w:rFonts w:ascii="Times New Roman" w:hAnsi="Times New Roman"/>
        </w:rPr>
        <w:t>emerge</w:t>
      </w:r>
      <w:r w:rsidR="009360B3" w:rsidRPr="004261A9">
        <w:rPr>
          <w:rFonts w:ascii="Times New Roman" w:hAnsi="Times New Roman"/>
        </w:rPr>
        <w:t>s</w:t>
      </w:r>
      <w:r w:rsidR="00843A91" w:rsidRPr="004261A9">
        <w:rPr>
          <w:rFonts w:ascii="Times New Roman" w:hAnsi="Times New Roman"/>
        </w:rPr>
        <w:t xml:space="preserve"> </w:t>
      </w:r>
      <w:r w:rsidR="009145E7" w:rsidRPr="004261A9">
        <w:rPr>
          <w:rFonts w:ascii="Times New Roman" w:hAnsi="Times New Roman"/>
        </w:rPr>
        <w:t>where</w:t>
      </w:r>
      <w:r w:rsidR="00843A91" w:rsidRPr="004261A9">
        <w:rPr>
          <w:rFonts w:ascii="Times New Roman" w:hAnsi="Times New Roman"/>
        </w:rPr>
        <w:t xml:space="preserve"> citizens </w:t>
      </w:r>
      <w:r w:rsidR="009360B3" w:rsidRPr="004261A9">
        <w:rPr>
          <w:rFonts w:ascii="Times New Roman" w:hAnsi="Times New Roman"/>
        </w:rPr>
        <w:t>are</w:t>
      </w:r>
      <w:r w:rsidR="009145E7" w:rsidRPr="004261A9">
        <w:rPr>
          <w:rFonts w:ascii="Times New Roman" w:hAnsi="Times New Roman"/>
        </w:rPr>
        <w:t xml:space="preserve"> trusted and given the right to freely participate in political decision-making</w:t>
      </w:r>
      <w:r w:rsidR="009145E7" w:rsidRPr="004261A9">
        <w:rPr>
          <w:rStyle w:val="FootnoteReference"/>
          <w:rFonts w:ascii="Times New Roman" w:hAnsi="Times New Roman"/>
        </w:rPr>
        <w:footnoteReference w:id="12"/>
      </w:r>
      <w:r w:rsidR="009145E7" w:rsidRPr="004261A9">
        <w:rPr>
          <w:rFonts w:ascii="Times New Roman" w:hAnsi="Times New Roman"/>
        </w:rPr>
        <w:t>. It is beyond doubt that the January 25</w:t>
      </w:r>
      <w:r w:rsidR="001D6FAF" w:rsidRPr="004261A9">
        <w:rPr>
          <w:rFonts w:ascii="Times New Roman" w:hAnsi="Times New Roman"/>
          <w:vertAlign w:val="superscript"/>
        </w:rPr>
        <w:t xml:space="preserve"> </w:t>
      </w:r>
      <w:r w:rsidR="009145E7" w:rsidRPr="004261A9">
        <w:rPr>
          <w:rFonts w:ascii="Times New Roman" w:hAnsi="Times New Roman"/>
        </w:rPr>
        <w:t>Revolution has completely changed the grounds of political participation in Egypt.</w:t>
      </w:r>
      <w:r w:rsidR="001D6FAF" w:rsidRPr="004261A9">
        <w:rPr>
          <w:rFonts w:ascii="Times New Roman" w:hAnsi="Times New Roman"/>
        </w:rPr>
        <w:t xml:space="preserve"> </w:t>
      </w:r>
      <w:r w:rsidR="009360B3" w:rsidRPr="004261A9">
        <w:rPr>
          <w:rFonts w:ascii="Times New Roman" w:hAnsi="Times New Roman"/>
        </w:rPr>
        <w:t>The patriotic scene in Tahrir S</w:t>
      </w:r>
      <w:r w:rsidR="00374225" w:rsidRPr="004261A9">
        <w:rPr>
          <w:rFonts w:ascii="Times New Roman" w:hAnsi="Times New Roman"/>
        </w:rPr>
        <w:t xml:space="preserve">qaure gave rise to a new civic force and promises are being </w:t>
      </w:r>
      <w:r w:rsidR="00D77DCD" w:rsidRPr="004261A9">
        <w:rPr>
          <w:rFonts w:ascii="Times New Roman" w:hAnsi="Times New Roman"/>
        </w:rPr>
        <w:t>exchanged between</w:t>
      </w:r>
      <w:r w:rsidR="00374225" w:rsidRPr="004261A9">
        <w:rPr>
          <w:rFonts w:ascii="Times New Roman" w:hAnsi="Times New Roman"/>
        </w:rPr>
        <w:t xml:space="preserve"> </w:t>
      </w:r>
      <w:r w:rsidR="00D77DCD" w:rsidRPr="004261A9">
        <w:rPr>
          <w:rFonts w:ascii="Times New Roman" w:hAnsi="Times New Roman"/>
        </w:rPr>
        <w:t>the</w:t>
      </w:r>
      <w:r w:rsidR="00374225" w:rsidRPr="004261A9">
        <w:rPr>
          <w:rFonts w:ascii="Times New Roman" w:hAnsi="Times New Roman"/>
        </w:rPr>
        <w:t xml:space="preserve"> citizens and the Supreme Court of Armed Forces as well as the Council of Ministe</w:t>
      </w:r>
      <w:r w:rsidR="00D77DCD" w:rsidRPr="004261A9">
        <w:rPr>
          <w:rFonts w:ascii="Times New Roman" w:hAnsi="Times New Roman"/>
        </w:rPr>
        <w:t xml:space="preserve">rs. These promises foster the existence of a form of psychological contract of mutual trust between the government and the people. The more legitimate the government is in the eyes of its people, the higher the OT emission and thus the more </w:t>
      </w:r>
      <w:r w:rsidR="009360B3" w:rsidRPr="004261A9">
        <w:rPr>
          <w:rFonts w:ascii="Times New Roman" w:hAnsi="Times New Roman"/>
        </w:rPr>
        <w:t>taxpayers trust them.</w:t>
      </w:r>
      <w:r w:rsidR="00D77DCD" w:rsidRPr="004261A9">
        <w:rPr>
          <w:rFonts w:ascii="Times New Roman" w:hAnsi="Times New Roman"/>
        </w:rPr>
        <w:t xml:space="preserve"> </w:t>
      </w:r>
      <w:r w:rsidR="001D6FAF" w:rsidRPr="004261A9">
        <w:rPr>
          <w:rFonts w:ascii="Times New Roman" w:hAnsi="Times New Roman"/>
        </w:rPr>
        <w:t xml:space="preserve">Given the current outlook of the situation, the study of neuroeconomics suggests that </w:t>
      </w:r>
      <w:r w:rsidR="009145E7" w:rsidRPr="004261A9">
        <w:rPr>
          <w:rFonts w:ascii="Times New Roman" w:hAnsi="Times New Roman"/>
        </w:rPr>
        <w:t xml:space="preserve">tax evasion incidents will be declining in the near future. </w:t>
      </w:r>
    </w:p>
    <w:p w:rsidR="00A3397B" w:rsidRPr="004261A9" w:rsidRDefault="00365F16" w:rsidP="00A3397B">
      <w:pPr>
        <w:spacing w:after="0" w:line="360" w:lineRule="auto"/>
        <w:ind w:firstLine="720"/>
        <w:jc w:val="both"/>
        <w:rPr>
          <w:rFonts w:ascii="Times New Roman" w:hAnsi="Times New Roman"/>
        </w:rPr>
      </w:pPr>
      <w:r w:rsidRPr="004261A9">
        <w:rPr>
          <w:rFonts w:ascii="Times New Roman" w:hAnsi="Times New Roman"/>
        </w:rPr>
        <w:t xml:space="preserve">These are hardly the last words in </w:t>
      </w:r>
      <w:r w:rsidR="00A3397B" w:rsidRPr="004261A9">
        <w:rPr>
          <w:rFonts w:ascii="Times New Roman" w:hAnsi="Times New Roman"/>
        </w:rPr>
        <w:t>the link between the brain and taxation policies</w:t>
      </w:r>
      <w:r w:rsidRPr="004261A9">
        <w:rPr>
          <w:rFonts w:ascii="Times New Roman" w:hAnsi="Times New Roman"/>
        </w:rPr>
        <w:t xml:space="preserve">. In fact, they are the very first in a field that </w:t>
      </w:r>
      <w:r w:rsidR="00176571" w:rsidRPr="004261A9">
        <w:rPr>
          <w:rFonts w:ascii="Times New Roman" w:hAnsi="Times New Roman"/>
        </w:rPr>
        <w:t>could potentially</w:t>
      </w:r>
      <w:r w:rsidR="00C73884" w:rsidRPr="004261A9">
        <w:rPr>
          <w:rFonts w:ascii="Times New Roman" w:hAnsi="Times New Roman"/>
        </w:rPr>
        <w:t xml:space="preserve"> present solutions to tax collection in Egypt. </w:t>
      </w:r>
      <w:r w:rsidR="00A3397B" w:rsidRPr="004261A9">
        <w:rPr>
          <w:rFonts w:ascii="Times New Roman" w:hAnsi="Times New Roman"/>
        </w:rPr>
        <w:t xml:space="preserve">The previous analysis has </w:t>
      </w:r>
      <w:r w:rsidR="00261E18" w:rsidRPr="004261A9">
        <w:rPr>
          <w:rFonts w:ascii="Times New Roman" w:hAnsi="Times New Roman"/>
        </w:rPr>
        <w:t>proven</w:t>
      </w:r>
      <w:r w:rsidR="00A3397B" w:rsidRPr="004261A9">
        <w:rPr>
          <w:rFonts w:ascii="Times New Roman" w:hAnsi="Times New Roman"/>
        </w:rPr>
        <w:t xml:space="preserve"> that </w:t>
      </w:r>
      <w:r w:rsidR="00A3397B" w:rsidRPr="004261A9">
        <w:rPr>
          <w:rFonts w:ascii="Times New Roman" w:hAnsi="Times New Roman"/>
          <w:i/>
        </w:rPr>
        <w:t>“</w:t>
      </w:r>
      <w:r w:rsidR="00A3397B" w:rsidRPr="004261A9">
        <w:rPr>
          <w:rFonts w:ascii="Times New Roman" w:hAnsi="Times New Roman" w:cs="Helvetica"/>
          <w:i/>
          <w:color w:val="000000"/>
          <w:szCs w:val="19"/>
        </w:rPr>
        <w:t>thinking about how the brain implements economic decisions, compared to thinking about choices resulting from preference and belief, is like switching from watching TV in black and white to watching in colour – there are so many more variables to think about.</w:t>
      </w:r>
      <w:r w:rsidR="00261E18" w:rsidRPr="004261A9">
        <w:rPr>
          <w:rStyle w:val="FootnoteReference"/>
          <w:rFonts w:ascii="Times New Roman" w:hAnsi="Times New Roman" w:cs="Helvetica"/>
          <w:i/>
          <w:color w:val="000000"/>
          <w:szCs w:val="19"/>
        </w:rPr>
        <w:footnoteReference w:id="13"/>
      </w:r>
      <w:r w:rsidR="00A3397B" w:rsidRPr="004261A9">
        <w:rPr>
          <w:rFonts w:ascii="Times New Roman" w:hAnsi="Times New Roman" w:cs="Helvetica"/>
          <w:i/>
          <w:color w:val="000000"/>
          <w:szCs w:val="19"/>
        </w:rPr>
        <w:t>”</w:t>
      </w:r>
      <w:r w:rsidR="00A3397B" w:rsidRPr="004261A9">
        <w:rPr>
          <w:rFonts w:ascii="Times New Roman" w:hAnsi="Times New Roman"/>
        </w:rPr>
        <w:t xml:space="preserve"> </w:t>
      </w:r>
      <w:r w:rsidRPr="004261A9">
        <w:rPr>
          <w:rFonts w:ascii="Times New Roman" w:hAnsi="Times New Roman"/>
        </w:rPr>
        <w:t xml:space="preserve">The </w:t>
      </w:r>
      <w:r w:rsidR="00A3397B" w:rsidRPr="004261A9">
        <w:rPr>
          <w:rFonts w:ascii="Times New Roman" w:hAnsi="Times New Roman"/>
        </w:rPr>
        <w:t xml:space="preserve">future will certainly prove the </w:t>
      </w:r>
      <w:r w:rsidR="00A3397B" w:rsidRPr="004261A9">
        <w:rPr>
          <w:rFonts w:ascii="Times New Roman" w:hAnsi="Times New Roman" w:cs="Arial"/>
          <w:szCs w:val="36"/>
        </w:rPr>
        <w:t>falsifiability</w:t>
      </w:r>
      <w:r w:rsidR="00A3397B" w:rsidRPr="004261A9">
        <w:rPr>
          <w:rFonts w:ascii="Times New Roman" w:hAnsi="Times New Roman"/>
        </w:rPr>
        <w:t xml:space="preserve"> of this analysis, giving rise to </w:t>
      </w:r>
      <w:r w:rsidR="00194B8F" w:rsidRPr="004261A9">
        <w:rPr>
          <w:rFonts w:ascii="Times New Roman" w:hAnsi="Times New Roman"/>
        </w:rPr>
        <w:t xml:space="preserve">a </w:t>
      </w:r>
      <w:r w:rsidR="00416953" w:rsidRPr="004261A9">
        <w:rPr>
          <w:rFonts w:ascii="Times New Roman" w:hAnsi="Times New Roman"/>
        </w:rPr>
        <w:t>completely new colo</w:t>
      </w:r>
      <w:r w:rsidR="00261E18" w:rsidRPr="004261A9">
        <w:rPr>
          <w:rFonts w:ascii="Times New Roman" w:hAnsi="Times New Roman"/>
        </w:rPr>
        <w:t>u</w:t>
      </w:r>
      <w:r w:rsidR="00AE33EC" w:rsidRPr="004261A9">
        <w:rPr>
          <w:rFonts w:ascii="Times New Roman" w:hAnsi="Times New Roman"/>
        </w:rPr>
        <w:t xml:space="preserve">r spectrum. </w:t>
      </w:r>
    </w:p>
    <w:p w:rsidR="00974995" w:rsidRPr="004261A9" w:rsidRDefault="00974995" w:rsidP="00A3397B">
      <w:pPr>
        <w:spacing w:after="0" w:line="360" w:lineRule="auto"/>
        <w:jc w:val="both"/>
        <w:rPr>
          <w:rFonts w:ascii="Times New Roman" w:hAnsi="Times New Roman"/>
        </w:rPr>
      </w:pPr>
    </w:p>
    <w:p w:rsidR="00EA5C5C" w:rsidRDefault="00EA5C5C" w:rsidP="00A3397B">
      <w:pPr>
        <w:spacing w:after="0" w:line="360" w:lineRule="auto"/>
        <w:jc w:val="both"/>
        <w:rPr>
          <w:sz w:val="20"/>
        </w:rPr>
      </w:pPr>
    </w:p>
    <w:p w:rsidR="00EA5C5C" w:rsidRDefault="00EA5C5C" w:rsidP="00A3397B">
      <w:pPr>
        <w:spacing w:after="0" w:line="360" w:lineRule="auto"/>
        <w:jc w:val="both"/>
        <w:rPr>
          <w:sz w:val="20"/>
        </w:rPr>
      </w:pPr>
    </w:p>
    <w:p w:rsidR="003A5DC2" w:rsidRPr="00306F28" w:rsidRDefault="003A5DC2" w:rsidP="00A3397B">
      <w:pPr>
        <w:spacing w:after="0" w:line="360" w:lineRule="auto"/>
        <w:jc w:val="both"/>
        <w:rPr>
          <w:rFonts w:ascii="Times New Roman" w:hAnsi="Times New Roman"/>
        </w:rPr>
      </w:pPr>
    </w:p>
    <w:sectPr w:rsidR="003A5DC2" w:rsidRPr="00306F28" w:rsidSect="00EA5C5C">
      <w:headerReference w:type="even" r:id="rId8"/>
      <w:headerReference w:type="default" r:id="rId9"/>
      <w:pgSz w:w="11900" w:h="16840"/>
      <w:pgMar w:top="1440" w:right="1694" w:bottom="1440"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75A5">
      <w:pPr>
        <w:spacing w:after="0"/>
      </w:pPr>
      <w:r>
        <w:separator/>
      </w:r>
    </w:p>
  </w:endnote>
  <w:endnote w:type="continuationSeparator" w:id="0">
    <w:p w:rsidR="00000000" w:rsidRDefault="001E7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75A5">
      <w:pPr>
        <w:spacing w:after="0"/>
      </w:pPr>
      <w:r>
        <w:separator/>
      </w:r>
    </w:p>
  </w:footnote>
  <w:footnote w:type="continuationSeparator" w:id="0">
    <w:p w:rsidR="00000000" w:rsidRDefault="001E75A5">
      <w:pPr>
        <w:spacing w:after="0"/>
      </w:pPr>
      <w:r>
        <w:continuationSeparator/>
      </w:r>
    </w:p>
  </w:footnote>
  <w:footnote w:id="1">
    <w:p w:rsidR="008A40E6" w:rsidRPr="004261A9" w:rsidRDefault="008A40E6">
      <w:pPr>
        <w:pStyle w:val="FootnoteText"/>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cs="Helvetica"/>
          <w:sz w:val="18"/>
        </w:rPr>
        <w:t>Mill, John Stuart. "On the Definition of Political Economy, and on the Method of Investigation Proper to It," London and Westminster Review, October 1836</w:t>
      </w:r>
    </w:p>
  </w:footnote>
  <w:footnote w:id="2">
    <w:p w:rsidR="008A40E6" w:rsidRPr="004261A9" w:rsidRDefault="008A40E6" w:rsidP="001953A7">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kern w:val="1"/>
          <w:sz w:val="18"/>
        </w:rPr>
        <w:t xml:space="preserve">Camerer, Colin, George Loewenstein, and Drazen Prelec. </w:t>
      </w:r>
      <w:r w:rsidRPr="004261A9">
        <w:rPr>
          <w:rFonts w:ascii="Times New Roman" w:hAnsi="Times New Roman"/>
          <w:kern w:val="1"/>
          <w:sz w:val="18"/>
          <w:u w:val="single"/>
        </w:rPr>
        <w:t>Neuroeconomics: Why Economists Need Brain</w:t>
      </w:r>
      <w:r w:rsidRPr="004261A9">
        <w:rPr>
          <w:rFonts w:ascii="Times New Roman" w:hAnsi="Times New Roman"/>
          <w:kern w:val="1"/>
          <w:sz w:val="18"/>
        </w:rPr>
        <w:t xml:space="preserve">. </w:t>
      </w:r>
      <w:r w:rsidRPr="004261A9">
        <w:rPr>
          <w:rFonts w:ascii="Times New Roman" w:hAnsi="Times New Roman"/>
          <w:i/>
          <w:iCs/>
          <w:kern w:val="1"/>
          <w:sz w:val="18"/>
        </w:rPr>
        <w:t>Scandinavian Journal of Economics</w:t>
      </w:r>
      <w:r w:rsidRPr="004261A9">
        <w:rPr>
          <w:rFonts w:ascii="Times New Roman" w:hAnsi="Times New Roman"/>
          <w:kern w:val="1"/>
          <w:sz w:val="18"/>
        </w:rPr>
        <w:t>. 3.106 (2004).</w:t>
      </w:r>
    </w:p>
  </w:footnote>
  <w:footnote w:id="3">
    <w:p w:rsidR="008A40E6" w:rsidRPr="004261A9" w:rsidRDefault="008A40E6">
      <w:pPr>
        <w:pStyle w:val="FootnoteText"/>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i/>
          <w:sz w:val="18"/>
        </w:rPr>
        <w:t>tax gap</w:t>
      </w:r>
      <w:r w:rsidRPr="004261A9">
        <w:rPr>
          <w:rFonts w:ascii="Times New Roman" w:hAnsi="Times New Roman"/>
          <w:sz w:val="18"/>
        </w:rPr>
        <w:t>: the difference between expected and actual tax revenues</w:t>
      </w:r>
    </w:p>
  </w:footnote>
  <w:footnote w:id="4">
    <w:p w:rsidR="008A40E6" w:rsidRPr="004261A9" w:rsidRDefault="008A40E6" w:rsidP="007B0A1A">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kern w:val="1"/>
          <w:sz w:val="18"/>
        </w:rPr>
        <w:t xml:space="preserve">Kirchler, Erich, Erik Hoelzl, and Ingrid Wahl. </w:t>
      </w:r>
      <w:r w:rsidRPr="004261A9">
        <w:rPr>
          <w:rFonts w:ascii="Times New Roman" w:hAnsi="Times New Roman"/>
          <w:kern w:val="1"/>
          <w:sz w:val="18"/>
          <w:u w:val="single"/>
        </w:rPr>
        <w:t>Enforced versus voluntary tax compliance: The ‘‘slippery slope’’ framework.</w:t>
      </w:r>
      <w:r w:rsidRPr="004261A9">
        <w:rPr>
          <w:rFonts w:ascii="Times New Roman" w:hAnsi="Times New Roman"/>
          <w:kern w:val="1"/>
          <w:sz w:val="18"/>
        </w:rPr>
        <w:t xml:space="preserve"> </w:t>
      </w:r>
      <w:r w:rsidRPr="004261A9">
        <w:rPr>
          <w:rFonts w:ascii="Times New Roman" w:hAnsi="Times New Roman"/>
          <w:i/>
          <w:iCs/>
          <w:kern w:val="1"/>
          <w:sz w:val="18"/>
        </w:rPr>
        <w:t>Journal of Economic Psychology</w:t>
      </w:r>
      <w:r w:rsidRPr="004261A9">
        <w:rPr>
          <w:rFonts w:ascii="Times New Roman" w:hAnsi="Times New Roman"/>
          <w:kern w:val="1"/>
          <w:sz w:val="18"/>
        </w:rPr>
        <w:t>. 29. (2008)</w:t>
      </w:r>
    </w:p>
  </w:footnote>
  <w:footnote w:id="5">
    <w:p w:rsidR="008A40E6" w:rsidRPr="004261A9" w:rsidRDefault="008A40E6" w:rsidP="00C04513">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Abdel-Mawla, Somaya. </w:t>
      </w:r>
      <w:r w:rsidRPr="004261A9">
        <w:rPr>
          <w:rFonts w:ascii="Times New Roman" w:hAnsi="Times New Roman"/>
          <w:sz w:val="18"/>
          <w:u w:val="single"/>
        </w:rPr>
        <w:t>Tax Reforms and Tax Evasion in Egypt 2004-2008</w:t>
      </w:r>
      <w:r w:rsidRPr="004261A9">
        <w:rPr>
          <w:rFonts w:ascii="Times New Roman" w:hAnsi="Times New Roman"/>
          <w:sz w:val="18"/>
        </w:rPr>
        <w:t xml:space="preserve">. </w:t>
      </w:r>
      <w:r w:rsidRPr="004261A9">
        <w:rPr>
          <w:rFonts w:ascii="Times New Roman" w:hAnsi="Times New Roman" w:cs="Verdana"/>
          <w:bCs/>
          <w:color w:val="000000"/>
          <w:sz w:val="18"/>
          <w:szCs w:val="27"/>
        </w:rPr>
        <w:t xml:space="preserve">CSAE Conference 2011. Oxford. March 2011. </w:t>
      </w:r>
    </w:p>
  </w:footnote>
  <w:footnote w:id="6">
    <w:p w:rsidR="008A40E6" w:rsidRPr="004261A9" w:rsidRDefault="008A40E6" w:rsidP="00C04513">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C</w:t>
      </w:r>
      <w:r w:rsidRPr="004261A9">
        <w:rPr>
          <w:rFonts w:ascii="Times New Roman" w:hAnsi="Times New Roman"/>
          <w:kern w:val="1"/>
          <w:sz w:val="18"/>
        </w:rPr>
        <w:t>horvat, Terrence, Kevin McCabe, and Vernon Smith. "Law and Neuroeconomics</w:t>
      </w:r>
      <w:r w:rsidRPr="004261A9">
        <w:rPr>
          <w:rFonts w:ascii="Times New Roman" w:hAnsi="Times New Roman"/>
          <w:i/>
          <w:kern w:val="1"/>
          <w:sz w:val="18"/>
        </w:rPr>
        <w:t xml:space="preserve">." Supreme Court Economic Review. </w:t>
      </w:r>
      <w:r w:rsidRPr="004261A9">
        <w:rPr>
          <w:rFonts w:ascii="Times New Roman" w:hAnsi="Times New Roman"/>
          <w:kern w:val="1"/>
          <w:sz w:val="18"/>
        </w:rPr>
        <w:t>13 (2005).</w:t>
      </w:r>
    </w:p>
  </w:footnote>
  <w:footnote w:id="7">
    <w:p w:rsidR="008A40E6" w:rsidRPr="004261A9" w:rsidRDefault="008A40E6" w:rsidP="00EE715D">
      <w:pPr>
        <w:pStyle w:val="Header"/>
        <w:rPr>
          <w:rFonts w:ascii="Times New Roman" w:hAnsi="Times New Roman" w:cs="Arial"/>
          <w:color w:val="000000"/>
          <w:sz w:val="18"/>
          <w:szCs w:val="31"/>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kern w:val="1"/>
          <w:sz w:val="18"/>
        </w:rPr>
        <w:t xml:space="preserve">Feld, Lars, and Bruno Frey. </w:t>
      </w:r>
      <w:r w:rsidRPr="004261A9">
        <w:rPr>
          <w:rFonts w:ascii="Times New Roman" w:hAnsi="Times New Roman"/>
          <w:kern w:val="1"/>
          <w:sz w:val="18"/>
          <w:u w:val="single"/>
        </w:rPr>
        <w:t>Tax Compliance as the Result of a Psychological Tax Contract.</w:t>
      </w:r>
      <w:r w:rsidRPr="004261A9">
        <w:rPr>
          <w:rFonts w:ascii="Times New Roman" w:hAnsi="Times New Roman"/>
          <w:kern w:val="1"/>
          <w:sz w:val="18"/>
        </w:rPr>
        <w:t xml:space="preserve"> </w:t>
      </w:r>
      <w:r w:rsidRPr="004261A9">
        <w:rPr>
          <w:rFonts w:ascii="Times New Roman" w:hAnsi="Times New Roman"/>
          <w:i/>
          <w:iCs/>
          <w:kern w:val="1"/>
          <w:sz w:val="18"/>
        </w:rPr>
        <w:t>Center for Tax system Integrity, the Australian National University</w:t>
      </w:r>
      <w:r w:rsidRPr="004261A9">
        <w:rPr>
          <w:rFonts w:ascii="Times New Roman" w:hAnsi="Times New Roman"/>
          <w:kern w:val="1"/>
          <w:sz w:val="18"/>
        </w:rPr>
        <w:t>. (2005).</w:t>
      </w:r>
    </w:p>
  </w:footnote>
  <w:footnote w:id="8">
    <w:p w:rsidR="008A40E6" w:rsidRPr="004261A9" w:rsidRDefault="008A40E6">
      <w:pPr>
        <w:pStyle w:val="FootnoteText"/>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For example an area referred to as “Bordmann’s area 8”</w:t>
      </w:r>
    </w:p>
  </w:footnote>
  <w:footnote w:id="9">
    <w:p w:rsidR="008A40E6" w:rsidRPr="004261A9" w:rsidRDefault="008A40E6" w:rsidP="00640AEE">
      <w:pPr>
        <w:pStyle w:val="Header"/>
        <w:rPr>
          <w:rFonts w:ascii="Times New Roman" w:hAnsi="Times New Roman"/>
          <w:sz w:val="18"/>
        </w:rPr>
      </w:pPr>
      <w:r w:rsidRPr="004261A9">
        <w:rPr>
          <w:rStyle w:val="FootnoteReference"/>
          <w:rFonts w:ascii="Times New Roman" w:hAnsi="Times New Roman"/>
          <w:i/>
          <w:sz w:val="18"/>
        </w:rPr>
        <w:footnoteRef/>
      </w:r>
      <w:r w:rsidRPr="004261A9">
        <w:rPr>
          <w:rFonts w:ascii="Times New Roman" w:hAnsi="Times New Roman"/>
          <w:sz w:val="18"/>
        </w:rPr>
        <w:t xml:space="preserve"> </w:t>
      </w:r>
      <w:r w:rsidRPr="004261A9">
        <w:rPr>
          <w:rFonts w:ascii="Times New Roman" w:hAnsi="Times New Roman"/>
          <w:kern w:val="1"/>
          <w:sz w:val="18"/>
        </w:rPr>
        <w:t xml:space="preserve">Kugler, Jacek, and Paul Zak. </w:t>
      </w:r>
      <w:r w:rsidRPr="004261A9">
        <w:rPr>
          <w:rFonts w:ascii="Times New Roman" w:hAnsi="Times New Roman"/>
          <w:kern w:val="1"/>
          <w:sz w:val="18"/>
          <w:u w:val="single"/>
        </w:rPr>
        <w:t>Neuroeconomics and International Studies: A New Understanding of Trust.</w:t>
      </w:r>
      <w:r w:rsidRPr="004261A9">
        <w:rPr>
          <w:rFonts w:ascii="Times New Roman" w:hAnsi="Times New Roman"/>
          <w:kern w:val="1"/>
          <w:sz w:val="18"/>
        </w:rPr>
        <w:t xml:space="preserve"> </w:t>
      </w:r>
      <w:r w:rsidRPr="004261A9">
        <w:rPr>
          <w:rFonts w:ascii="Times New Roman" w:hAnsi="Times New Roman"/>
          <w:iCs/>
          <w:kern w:val="1"/>
          <w:sz w:val="18"/>
        </w:rPr>
        <w:t>International Studies Perspectives</w:t>
      </w:r>
      <w:r w:rsidRPr="004261A9">
        <w:rPr>
          <w:rFonts w:ascii="Times New Roman" w:hAnsi="Times New Roman"/>
          <w:kern w:val="1"/>
          <w:sz w:val="18"/>
        </w:rPr>
        <w:t>. 12. (2011).</w:t>
      </w:r>
    </w:p>
  </w:footnote>
  <w:footnote w:id="10">
    <w:p w:rsidR="008A40E6" w:rsidRPr="004261A9" w:rsidRDefault="008A40E6">
      <w:pPr>
        <w:pStyle w:val="FootnoteText"/>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One of the founders of Neuroeconomics. He is a Professor at Claremont University and the Head of Center for Neuroeconomic Studies, California.</w:t>
      </w:r>
    </w:p>
  </w:footnote>
  <w:footnote w:id="11">
    <w:p w:rsidR="008A40E6" w:rsidRPr="004261A9" w:rsidRDefault="008A40E6" w:rsidP="00640AEE">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B</w:t>
      </w:r>
      <w:r w:rsidRPr="004261A9">
        <w:rPr>
          <w:rFonts w:ascii="Times New Roman" w:hAnsi="Times New Roman"/>
          <w:kern w:val="1"/>
          <w:sz w:val="18"/>
        </w:rPr>
        <w:t xml:space="preserve">hattacharya, Jay, and Darius Lakdawalla. </w:t>
      </w:r>
      <w:r w:rsidRPr="004261A9">
        <w:rPr>
          <w:rFonts w:ascii="Times New Roman" w:hAnsi="Times New Roman"/>
          <w:kern w:val="1"/>
          <w:sz w:val="18"/>
          <w:u w:val="single"/>
        </w:rPr>
        <w:t>Time Inconsistency and Welfare.</w:t>
      </w:r>
      <w:r w:rsidRPr="004261A9">
        <w:rPr>
          <w:rFonts w:ascii="Times New Roman" w:hAnsi="Times New Roman"/>
          <w:kern w:val="1"/>
          <w:sz w:val="18"/>
        </w:rPr>
        <w:t xml:space="preserve"> </w:t>
      </w:r>
      <w:r w:rsidRPr="004261A9">
        <w:rPr>
          <w:rFonts w:ascii="Times New Roman" w:hAnsi="Times New Roman"/>
          <w:i/>
          <w:iCs/>
          <w:kern w:val="1"/>
          <w:sz w:val="18"/>
        </w:rPr>
        <w:t>National Bureau of Economic Research</w:t>
      </w:r>
      <w:r w:rsidRPr="004261A9">
        <w:rPr>
          <w:rFonts w:ascii="Times New Roman" w:hAnsi="Times New Roman"/>
          <w:kern w:val="1"/>
          <w:sz w:val="18"/>
        </w:rPr>
        <w:t>. (2004).</w:t>
      </w:r>
    </w:p>
  </w:footnote>
  <w:footnote w:id="12">
    <w:p w:rsidR="008A40E6" w:rsidRPr="004261A9" w:rsidRDefault="008A40E6">
      <w:pPr>
        <w:pStyle w:val="FootnoteText"/>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kern w:val="1"/>
          <w:sz w:val="18"/>
        </w:rPr>
        <w:t xml:space="preserve">Feld, Lars, and Bruno Frey. </w:t>
      </w:r>
      <w:r w:rsidRPr="004261A9">
        <w:rPr>
          <w:rFonts w:ascii="Times New Roman" w:hAnsi="Times New Roman"/>
          <w:sz w:val="18"/>
          <w:u w:val="single"/>
        </w:rPr>
        <w:t>Trust Breeds Trust</w:t>
      </w:r>
      <w:r w:rsidRPr="004261A9">
        <w:rPr>
          <w:rFonts w:ascii="Times New Roman" w:hAnsi="Times New Roman"/>
          <w:sz w:val="18"/>
        </w:rPr>
        <w:t xml:space="preserve">. </w:t>
      </w:r>
      <w:r w:rsidRPr="004261A9">
        <w:rPr>
          <w:rFonts w:ascii="Times New Roman" w:hAnsi="Times New Roman"/>
          <w:i/>
          <w:sz w:val="18"/>
        </w:rPr>
        <w:t>Economics of Governance</w:t>
      </w:r>
      <w:r w:rsidRPr="004261A9">
        <w:rPr>
          <w:rFonts w:ascii="Times New Roman" w:hAnsi="Times New Roman"/>
          <w:sz w:val="18"/>
        </w:rPr>
        <w:t xml:space="preserve">. 2 (2002). </w:t>
      </w:r>
    </w:p>
  </w:footnote>
  <w:footnote w:id="13">
    <w:p w:rsidR="008A40E6" w:rsidRPr="004261A9" w:rsidRDefault="008A40E6" w:rsidP="00CD2638">
      <w:pPr>
        <w:pStyle w:val="Header"/>
        <w:rPr>
          <w:rFonts w:ascii="Times New Roman" w:hAnsi="Times New Roman"/>
          <w:sz w:val="18"/>
        </w:rPr>
      </w:pPr>
      <w:r w:rsidRPr="004261A9">
        <w:rPr>
          <w:rStyle w:val="FootnoteReference"/>
          <w:rFonts w:ascii="Times New Roman" w:hAnsi="Times New Roman"/>
          <w:sz w:val="18"/>
        </w:rPr>
        <w:footnoteRef/>
      </w:r>
      <w:r w:rsidRPr="004261A9">
        <w:rPr>
          <w:rFonts w:ascii="Times New Roman" w:hAnsi="Times New Roman"/>
          <w:sz w:val="18"/>
        </w:rPr>
        <w:t xml:space="preserve"> </w:t>
      </w:r>
      <w:r w:rsidRPr="004261A9">
        <w:rPr>
          <w:rFonts w:ascii="Times New Roman" w:hAnsi="Times New Roman"/>
          <w:kern w:val="1"/>
          <w:sz w:val="18"/>
        </w:rPr>
        <w:t xml:space="preserve">Camerer, Colin. </w:t>
      </w:r>
      <w:r w:rsidRPr="004261A9">
        <w:rPr>
          <w:rFonts w:ascii="Times New Roman" w:hAnsi="Times New Roman"/>
          <w:kern w:val="1"/>
          <w:sz w:val="18"/>
          <w:u w:val="single"/>
        </w:rPr>
        <w:t>Using Neuroscience to Make Economic Predictions.</w:t>
      </w:r>
      <w:r w:rsidRPr="004261A9">
        <w:rPr>
          <w:rFonts w:ascii="Times New Roman" w:hAnsi="Times New Roman"/>
          <w:kern w:val="1"/>
          <w:sz w:val="18"/>
        </w:rPr>
        <w:t xml:space="preserve"> </w:t>
      </w:r>
      <w:r w:rsidRPr="004261A9">
        <w:rPr>
          <w:rFonts w:ascii="Times New Roman" w:hAnsi="Times New Roman"/>
          <w:i/>
          <w:iCs/>
          <w:kern w:val="1"/>
          <w:sz w:val="18"/>
        </w:rPr>
        <w:t>Economic Journal</w:t>
      </w:r>
      <w:r w:rsidRPr="004261A9">
        <w:rPr>
          <w:rFonts w:ascii="Times New Roman" w:hAnsi="Times New Roman"/>
          <w:kern w:val="1"/>
          <w:sz w:val="18"/>
        </w:rPr>
        <w:t>. 117.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E6" w:rsidRPr="005F5429" w:rsidRDefault="0002461F" w:rsidP="00192FE4">
    <w:pPr>
      <w:pStyle w:val="Header"/>
      <w:framePr w:wrap="around" w:vAnchor="text" w:hAnchor="margin" w:xAlign="right" w:y="1"/>
      <w:rPr>
        <w:rStyle w:val="PageNumber"/>
      </w:rPr>
    </w:pPr>
    <w:r w:rsidRPr="005F5429">
      <w:rPr>
        <w:rStyle w:val="PageNumber"/>
        <w:sz w:val="22"/>
      </w:rPr>
      <w:fldChar w:fldCharType="begin"/>
    </w:r>
    <w:r w:rsidR="008A40E6" w:rsidRPr="005F5429">
      <w:rPr>
        <w:rStyle w:val="PageNumber"/>
        <w:sz w:val="22"/>
      </w:rPr>
      <w:instrText xml:space="preserve">PAGE  </w:instrText>
    </w:r>
    <w:r w:rsidRPr="005F5429">
      <w:rPr>
        <w:rStyle w:val="PageNumber"/>
        <w:sz w:val="22"/>
      </w:rPr>
      <w:fldChar w:fldCharType="separate"/>
    </w:r>
    <w:r w:rsidR="001E75A5">
      <w:rPr>
        <w:rStyle w:val="PageNumber"/>
        <w:noProof/>
        <w:sz w:val="22"/>
      </w:rPr>
      <w:t>6</w:t>
    </w:r>
    <w:r w:rsidRPr="005F5429">
      <w:rPr>
        <w:rStyle w:val="PageNumber"/>
        <w:sz w:val="22"/>
      </w:rPr>
      <w:fldChar w:fldCharType="end"/>
    </w:r>
  </w:p>
  <w:p w:rsidR="008A40E6" w:rsidRPr="005F5429" w:rsidRDefault="008A40E6" w:rsidP="00070CC5">
    <w:pPr>
      <w:pStyle w:val="Header"/>
      <w:ind w:right="360"/>
      <w:jc w:val="right"/>
      <w:rPr>
        <w:sz w:val="22"/>
      </w:rPr>
    </w:pPr>
    <w:r w:rsidRPr="005F5429">
      <w:rPr>
        <w:sz w:val="22"/>
      </w:rPr>
      <w:t>Bedair,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E6" w:rsidRDefault="0002461F" w:rsidP="00192FE4">
    <w:pPr>
      <w:pStyle w:val="Header"/>
      <w:framePr w:wrap="around" w:vAnchor="text" w:hAnchor="margin" w:xAlign="right" w:y="1"/>
      <w:rPr>
        <w:rStyle w:val="PageNumber"/>
      </w:rPr>
    </w:pPr>
    <w:r>
      <w:rPr>
        <w:rStyle w:val="PageNumber"/>
      </w:rPr>
      <w:fldChar w:fldCharType="begin"/>
    </w:r>
    <w:r w:rsidR="008A40E6">
      <w:rPr>
        <w:rStyle w:val="PageNumber"/>
      </w:rPr>
      <w:instrText xml:space="preserve">PAGE  </w:instrText>
    </w:r>
    <w:r>
      <w:rPr>
        <w:rStyle w:val="PageNumber"/>
      </w:rPr>
      <w:fldChar w:fldCharType="separate"/>
    </w:r>
    <w:r w:rsidR="001E75A5">
      <w:rPr>
        <w:rStyle w:val="PageNumber"/>
        <w:noProof/>
      </w:rPr>
      <w:t>1</w:t>
    </w:r>
    <w:r>
      <w:rPr>
        <w:rStyle w:val="PageNumber"/>
      </w:rPr>
      <w:fldChar w:fldCharType="end"/>
    </w:r>
  </w:p>
  <w:p w:rsidR="008A40E6" w:rsidRDefault="005F5429" w:rsidP="005F5429">
    <w:pPr>
      <w:pStyle w:val="Header"/>
      <w:ind w:right="360"/>
      <w:jc w:val="right"/>
    </w:pPr>
    <w:r>
      <w:tab/>
      <w:t xml:space="preserve">              Bedair,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3"/>
    <w:rsid w:val="00017700"/>
    <w:rsid w:val="0002461F"/>
    <w:rsid w:val="0002509F"/>
    <w:rsid w:val="00055723"/>
    <w:rsid w:val="00070CC5"/>
    <w:rsid w:val="00071FE2"/>
    <w:rsid w:val="00087EBB"/>
    <w:rsid w:val="00096263"/>
    <w:rsid w:val="000C6A8E"/>
    <w:rsid w:val="000D7876"/>
    <w:rsid w:val="000F79B2"/>
    <w:rsid w:val="00103B93"/>
    <w:rsid w:val="0012304F"/>
    <w:rsid w:val="00125B77"/>
    <w:rsid w:val="00140F71"/>
    <w:rsid w:val="0016102C"/>
    <w:rsid w:val="00162EC3"/>
    <w:rsid w:val="00176571"/>
    <w:rsid w:val="00192FE4"/>
    <w:rsid w:val="00194B8F"/>
    <w:rsid w:val="001953A7"/>
    <w:rsid w:val="001A06D5"/>
    <w:rsid w:val="001D04B6"/>
    <w:rsid w:val="001D6FAF"/>
    <w:rsid w:val="001E0085"/>
    <w:rsid w:val="001E4292"/>
    <w:rsid w:val="001E75A5"/>
    <w:rsid w:val="00202353"/>
    <w:rsid w:val="002308DE"/>
    <w:rsid w:val="002437ED"/>
    <w:rsid w:val="00255774"/>
    <w:rsid w:val="0026116C"/>
    <w:rsid w:val="00261E18"/>
    <w:rsid w:val="00263BF9"/>
    <w:rsid w:val="002663D2"/>
    <w:rsid w:val="0028196E"/>
    <w:rsid w:val="00281ED9"/>
    <w:rsid w:val="002848FB"/>
    <w:rsid w:val="0029060C"/>
    <w:rsid w:val="002A4EAA"/>
    <w:rsid w:val="002A5CBF"/>
    <w:rsid w:val="002B5636"/>
    <w:rsid w:val="002B56F7"/>
    <w:rsid w:val="002E5303"/>
    <w:rsid w:val="002E647F"/>
    <w:rsid w:val="00302BB0"/>
    <w:rsid w:val="00306F28"/>
    <w:rsid w:val="00317878"/>
    <w:rsid w:val="0033275C"/>
    <w:rsid w:val="0034493A"/>
    <w:rsid w:val="00361B40"/>
    <w:rsid w:val="00365F16"/>
    <w:rsid w:val="00374225"/>
    <w:rsid w:val="00376874"/>
    <w:rsid w:val="003A1367"/>
    <w:rsid w:val="003A5DC2"/>
    <w:rsid w:val="003A727F"/>
    <w:rsid w:val="003D7E80"/>
    <w:rsid w:val="00406A61"/>
    <w:rsid w:val="004115F4"/>
    <w:rsid w:val="00415A27"/>
    <w:rsid w:val="00416953"/>
    <w:rsid w:val="00420353"/>
    <w:rsid w:val="004261A9"/>
    <w:rsid w:val="00433DE4"/>
    <w:rsid w:val="00434FBE"/>
    <w:rsid w:val="00451354"/>
    <w:rsid w:val="00453381"/>
    <w:rsid w:val="004C7891"/>
    <w:rsid w:val="004D0C04"/>
    <w:rsid w:val="004E23FA"/>
    <w:rsid w:val="004F22C2"/>
    <w:rsid w:val="004F7ABD"/>
    <w:rsid w:val="00502C68"/>
    <w:rsid w:val="00521EA6"/>
    <w:rsid w:val="00523C22"/>
    <w:rsid w:val="0054013F"/>
    <w:rsid w:val="0055162B"/>
    <w:rsid w:val="0056652C"/>
    <w:rsid w:val="00567404"/>
    <w:rsid w:val="00581EE9"/>
    <w:rsid w:val="005858FD"/>
    <w:rsid w:val="0059761E"/>
    <w:rsid w:val="005A5A58"/>
    <w:rsid w:val="005B6859"/>
    <w:rsid w:val="005F44CC"/>
    <w:rsid w:val="005F5429"/>
    <w:rsid w:val="00614BCC"/>
    <w:rsid w:val="00640496"/>
    <w:rsid w:val="00640AEE"/>
    <w:rsid w:val="00670561"/>
    <w:rsid w:val="00672650"/>
    <w:rsid w:val="006907D4"/>
    <w:rsid w:val="006E16FD"/>
    <w:rsid w:val="006E1D99"/>
    <w:rsid w:val="007014A5"/>
    <w:rsid w:val="00721554"/>
    <w:rsid w:val="00736D5F"/>
    <w:rsid w:val="0077507E"/>
    <w:rsid w:val="007A2478"/>
    <w:rsid w:val="007A3A6F"/>
    <w:rsid w:val="007B0A1A"/>
    <w:rsid w:val="007B1531"/>
    <w:rsid w:val="007D5531"/>
    <w:rsid w:val="007D78EA"/>
    <w:rsid w:val="007F19F8"/>
    <w:rsid w:val="008014DC"/>
    <w:rsid w:val="008066AA"/>
    <w:rsid w:val="0080756F"/>
    <w:rsid w:val="00823108"/>
    <w:rsid w:val="00827E82"/>
    <w:rsid w:val="00837371"/>
    <w:rsid w:val="00843A91"/>
    <w:rsid w:val="00854E67"/>
    <w:rsid w:val="0086345B"/>
    <w:rsid w:val="00884C25"/>
    <w:rsid w:val="008A1EBF"/>
    <w:rsid w:val="008A40E6"/>
    <w:rsid w:val="008A7D8F"/>
    <w:rsid w:val="008B1F97"/>
    <w:rsid w:val="008B76E8"/>
    <w:rsid w:val="008C677D"/>
    <w:rsid w:val="00903EC4"/>
    <w:rsid w:val="009145E7"/>
    <w:rsid w:val="00922246"/>
    <w:rsid w:val="00927F8D"/>
    <w:rsid w:val="009360B3"/>
    <w:rsid w:val="009579B3"/>
    <w:rsid w:val="00960060"/>
    <w:rsid w:val="00971A60"/>
    <w:rsid w:val="00974995"/>
    <w:rsid w:val="009841DE"/>
    <w:rsid w:val="00987CF3"/>
    <w:rsid w:val="009912D5"/>
    <w:rsid w:val="00991752"/>
    <w:rsid w:val="009A02EB"/>
    <w:rsid w:val="009A7A70"/>
    <w:rsid w:val="009A7B26"/>
    <w:rsid w:val="009B1E4D"/>
    <w:rsid w:val="009B6BAA"/>
    <w:rsid w:val="009C5E6F"/>
    <w:rsid w:val="009E07F0"/>
    <w:rsid w:val="009E3A02"/>
    <w:rsid w:val="009F27EE"/>
    <w:rsid w:val="009F29D5"/>
    <w:rsid w:val="00A3397B"/>
    <w:rsid w:val="00A50C3C"/>
    <w:rsid w:val="00A62E72"/>
    <w:rsid w:val="00A7031E"/>
    <w:rsid w:val="00A7523E"/>
    <w:rsid w:val="00A84818"/>
    <w:rsid w:val="00AE18E1"/>
    <w:rsid w:val="00AE33EC"/>
    <w:rsid w:val="00AE3ABE"/>
    <w:rsid w:val="00B16BF6"/>
    <w:rsid w:val="00B43348"/>
    <w:rsid w:val="00B63C16"/>
    <w:rsid w:val="00B63DC7"/>
    <w:rsid w:val="00B9398E"/>
    <w:rsid w:val="00B94CB9"/>
    <w:rsid w:val="00BF31D9"/>
    <w:rsid w:val="00C025A3"/>
    <w:rsid w:val="00C04513"/>
    <w:rsid w:val="00C409BE"/>
    <w:rsid w:val="00C4665D"/>
    <w:rsid w:val="00C47693"/>
    <w:rsid w:val="00C510DF"/>
    <w:rsid w:val="00C620F8"/>
    <w:rsid w:val="00C73884"/>
    <w:rsid w:val="00C87784"/>
    <w:rsid w:val="00CA5279"/>
    <w:rsid w:val="00CB129E"/>
    <w:rsid w:val="00CC2A21"/>
    <w:rsid w:val="00CC742D"/>
    <w:rsid w:val="00CD2638"/>
    <w:rsid w:val="00CE4B05"/>
    <w:rsid w:val="00CE5066"/>
    <w:rsid w:val="00CF0AF2"/>
    <w:rsid w:val="00D05343"/>
    <w:rsid w:val="00D22CEC"/>
    <w:rsid w:val="00D265A5"/>
    <w:rsid w:val="00D33BBD"/>
    <w:rsid w:val="00D37BD9"/>
    <w:rsid w:val="00D40729"/>
    <w:rsid w:val="00D44817"/>
    <w:rsid w:val="00D77DCD"/>
    <w:rsid w:val="00D83B36"/>
    <w:rsid w:val="00D93657"/>
    <w:rsid w:val="00DA2311"/>
    <w:rsid w:val="00DB0C5C"/>
    <w:rsid w:val="00DD5E7D"/>
    <w:rsid w:val="00E03036"/>
    <w:rsid w:val="00E0440C"/>
    <w:rsid w:val="00E11DBB"/>
    <w:rsid w:val="00E64378"/>
    <w:rsid w:val="00E66A64"/>
    <w:rsid w:val="00E727CC"/>
    <w:rsid w:val="00E77A20"/>
    <w:rsid w:val="00E77C05"/>
    <w:rsid w:val="00EA3563"/>
    <w:rsid w:val="00EA5C5C"/>
    <w:rsid w:val="00EB52B7"/>
    <w:rsid w:val="00EB7A8F"/>
    <w:rsid w:val="00EE2825"/>
    <w:rsid w:val="00EE715D"/>
    <w:rsid w:val="00F11A6A"/>
    <w:rsid w:val="00F5090B"/>
    <w:rsid w:val="00F628D5"/>
    <w:rsid w:val="00F71015"/>
    <w:rsid w:val="00F75B0C"/>
    <w:rsid w:val="00F8056D"/>
    <w:rsid w:val="00F86091"/>
    <w:rsid w:val="00F90400"/>
    <w:rsid w:val="00FC0509"/>
    <w:rsid w:val="00FE7195"/>
    <w:rsid w:val="00FF3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AD"/>
  </w:style>
  <w:style w:type="paragraph" w:styleId="Heading1">
    <w:name w:val="heading 1"/>
    <w:basedOn w:val="Normal"/>
    <w:next w:val="Normal"/>
    <w:link w:val="Heading1Char"/>
    <w:uiPriority w:val="9"/>
    <w:qFormat/>
    <w:rsid w:val="001953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5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B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9B8"/>
    <w:rPr>
      <w:rFonts w:ascii="Lucida Grande" w:hAnsi="Lucida Grande"/>
      <w:sz w:val="18"/>
      <w:szCs w:val="18"/>
    </w:rPr>
  </w:style>
  <w:style w:type="paragraph" w:styleId="FootnoteText">
    <w:name w:val="footnote text"/>
    <w:basedOn w:val="Normal"/>
    <w:link w:val="FootnoteTextChar"/>
    <w:uiPriority w:val="99"/>
    <w:unhideWhenUsed/>
    <w:rsid w:val="009B1E4D"/>
    <w:pPr>
      <w:spacing w:after="0"/>
    </w:pPr>
  </w:style>
  <w:style w:type="character" w:customStyle="1" w:styleId="FootnoteTextChar">
    <w:name w:val="Footnote Text Char"/>
    <w:basedOn w:val="DefaultParagraphFont"/>
    <w:link w:val="FootnoteText"/>
    <w:uiPriority w:val="99"/>
    <w:rsid w:val="009B1E4D"/>
  </w:style>
  <w:style w:type="character" w:styleId="FootnoteReference">
    <w:name w:val="footnote reference"/>
    <w:basedOn w:val="DefaultParagraphFont"/>
    <w:uiPriority w:val="99"/>
    <w:semiHidden/>
    <w:unhideWhenUsed/>
    <w:rsid w:val="009B1E4D"/>
    <w:rPr>
      <w:vertAlign w:val="superscript"/>
    </w:rPr>
  </w:style>
  <w:style w:type="paragraph" w:styleId="Header">
    <w:name w:val="header"/>
    <w:basedOn w:val="Normal"/>
    <w:link w:val="HeaderChar"/>
    <w:uiPriority w:val="99"/>
    <w:unhideWhenUsed/>
    <w:rsid w:val="00281ED9"/>
    <w:pPr>
      <w:tabs>
        <w:tab w:val="center" w:pos="4320"/>
        <w:tab w:val="right" w:pos="8640"/>
      </w:tabs>
      <w:spacing w:after="0"/>
    </w:pPr>
  </w:style>
  <w:style w:type="character" w:customStyle="1" w:styleId="HeaderChar">
    <w:name w:val="Header Char"/>
    <w:basedOn w:val="DefaultParagraphFont"/>
    <w:link w:val="Header"/>
    <w:uiPriority w:val="99"/>
    <w:rsid w:val="00281ED9"/>
  </w:style>
  <w:style w:type="paragraph" w:styleId="Footer">
    <w:name w:val="footer"/>
    <w:basedOn w:val="Normal"/>
    <w:link w:val="FooterChar"/>
    <w:uiPriority w:val="99"/>
    <w:semiHidden/>
    <w:unhideWhenUsed/>
    <w:rsid w:val="00281ED9"/>
    <w:pPr>
      <w:tabs>
        <w:tab w:val="center" w:pos="4320"/>
        <w:tab w:val="right" w:pos="8640"/>
      </w:tabs>
      <w:spacing w:after="0"/>
    </w:pPr>
  </w:style>
  <w:style w:type="character" w:customStyle="1" w:styleId="FooterChar">
    <w:name w:val="Footer Char"/>
    <w:basedOn w:val="DefaultParagraphFont"/>
    <w:link w:val="Footer"/>
    <w:uiPriority w:val="99"/>
    <w:semiHidden/>
    <w:rsid w:val="00281ED9"/>
  </w:style>
  <w:style w:type="paragraph" w:styleId="NoSpacing">
    <w:name w:val="No Spacing"/>
    <w:link w:val="NoSpacingChar"/>
    <w:qFormat/>
    <w:rsid w:val="00125B7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125B77"/>
    <w:rPr>
      <w:rFonts w:ascii="PMingLiU" w:eastAsiaTheme="minorEastAsia" w:hAnsi="PMingLiU"/>
      <w:sz w:val="22"/>
      <w:szCs w:val="22"/>
    </w:rPr>
  </w:style>
  <w:style w:type="character" w:styleId="PageNumber">
    <w:name w:val="page number"/>
    <w:basedOn w:val="DefaultParagraphFont"/>
    <w:uiPriority w:val="99"/>
    <w:semiHidden/>
    <w:unhideWhenUsed/>
    <w:rsid w:val="00070CC5"/>
  </w:style>
  <w:style w:type="character" w:customStyle="1" w:styleId="Heading2Char">
    <w:name w:val="Heading 2 Char"/>
    <w:basedOn w:val="DefaultParagraphFont"/>
    <w:link w:val="Heading2"/>
    <w:uiPriority w:val="9"/>
    <w:rsid w:val="001953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53A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AD"/>
  </w:style>
  <w:style w:type="paragraph" w:styleId="Heading1">
    <w:name w:val="heading 1"/>
    <w:basedOn w:val="Normal"/>
    <w:next w:val="Normal"/>
    <w:link w:val="Heading1Char"/>
    <w:uiPriority w:val="9"/>
    <w:qFormat/>
    <w:rsid w:val="001953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5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B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9B8"/>
    <w:rPr>
      <w:rFonts w:ascii="Lucida Grande" w:hAnsi="Lucida Grande"/>
      <w:sz w:val="18"/>
      <w:szCs w:val="18"/>
    </w:rPr>
  </w:style>
  <w:style w:type="paragraph" w:styleId="FootnoteText">
    <w:name w:val="footnote text"/>
    <w:basedOn w:val="Normal"/>
    <w:link w:val="FootnoteTextChar"/>
    <w:uiPriority w:val="99"/>
    <w:unhideWhenUsed/>
    <w:rsid w:val="009B1E4D"/>
    <w:pPr>
      <w:spacing w:after="0"/>
    </w:pPr>
  </w:style>
  <w:style w:type="character" w:customStyle="1" w:styleId="FootnoteTextChar">
    <w:name w:val="Footnote Text Char"/>
    <w:basedOn w:val="DefaultParagraphFont"/>
    <w:link w:val="FootnoteText"/>
    <w:uiPriority w:val="99"/>
    <w:rsid w:val="009B1E4D"/>
  </w:style>
  <w:style w:type="character" w:styleId="FootnoteReference">
    <w:name w:val="footnote reference"/>
    <w:basedOn w:val="DefaultParagraphFont"/>
    <w:uiPriority w:val="99"/>
    <w:semiHidden/>
    <w:unhideWhenUsed/>
    <w:rsid w:val="009B1E4D"/>
    <w:rPr>
      <w:vertAlign w:val="superscript"/>
    </w:rPr>
  </w:style>
  <w:style w:type="paragraph" w:styleId="Header">
    <w:name w:val="header"/>
    <w:basedOn w:val="Normal"/>
    <w:link w:val="HeaderChar"/>
    <w:uiPriority w:val="99"/>
    <w:unhideWhenUsed/>
    <w:rsid w:val="00281ED9"/>
    <w:pPr>
      <w:tabs>
        <w:tab w:val="center" w:pos="4320"/>
        <w:tab w:val="right" w:pos="8640"/>
      </w:tabs>
      <w:spacing w:after="0"/>
    </w:pPr>
  </w:style>
  <w:style w:type="character" w:customStyle="1" w:styleId="HeaderChar">
    <w:name w:val="Header Char"/>
    <w:basedOn w:val="DefaultParagraphFont"/>
    <w:link w:val="Header"/>
    <w:uiPriority w:val="99"/>
    <w:rsid w:val="00281ED9"/>
  </w:style>
  <w:style w:type="paragraph" w:styleId="Footer">
    <w:name w:val="footer"/>
    <w:basedOn w:val="Normal"/>
    <w:link w:val="FooterChar"/>
    <w:uiPriority w:val="99"/>
    <w:semiHidden/>
    <w:unhideWhenUsed/>
    <w:rsid w:val="00281ED9"/>
    <w:pPr>
      <w:tabs>
        <w:tab w:val="center" w:pos="4320"/>
        <w:tab w:val="right" w:pos="8640"/>
      </w:tabs>
      <w:spacing w:after="0"/>
    </w:pPr>
  </w:style>
  <w:style w:type="character" w:customStyle="1" w:styleId="FooterChar">
    <w:name w:val="Footer Char"/>
    <w:basedOn w:val="DefaultParagraphFont"/>
    <w:link w:val="Footer"/>
    <w:uiPriority w:val="99"/>
    <w:semiHidden/>
    <w:rsid w:val="00281ED9"/>
  </w:style>
  <w:style w:type="paragraph" w:styleId="NoSpacing">
    <w:name w:val="No Spacing"/>
    <w:link w:val="NoSpacingChar"/>
    <w:qFormat/>
    <w:rsid w:val="00125B7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125B77"/>
    <w:rPr>
      <w:rFonts w:ascii="PMingLiU" w:eastAsiaTheme="minorEastAsia" w:hAnsi="PMingLiU"/>
      <w:sz w:val="22"/>
      <w:szCs w:val="22"/>
    </w:rPr>
  </w:style>
  <w:style w:type="character" w:styleId="PageNumber">
    <w:name w:val="page number"/>
    <w:basedOn w:val="DefaultParagraphFont"/>
    <w:uiPriority w:val="99"/>
    <w:semiHidden/>
    <w:unhideWhenUsed/>
    <w:rsid w:val="00070CC5"/>
  </w:style>
  <w:style w:type="character" w:customStyle="1" w:styleId="Heading2Char">
    <w:name w:val="Heading 2 Char"/>
    <w:basedOn w:val="DefaultParagraphFont"/>
    <w:link w:val="Heading2"/>
    <w:uiPriority w:val="9"/>
    <w:rsid w:val="001953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53A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908C1-0F77-4EEB-B874-880C5B9C1C4A}"/>
</file>

<file path=customXml/itemProps2.xml><?xml version="1.0" encoding="utf-8"?>
<ds:datastoreItem xmlns:ds="http://schemas.openxmlformats.org/officeDocument/2006/customXml" ds:itemID="{17E4FBE1-7944-AD43-9DAE-EE196D3055D9}"/>
</file>

<file path=customXml/itemProps3.xml><?xml version="1.0" encoding="utf-8"?>
<ds:datastoreItem xmlns:ds="http://schemas.openxmlformats.org/officeDocument/2006/customXml" ds:itemID="{81138574-98A6-4EC3-A7B5-278605899532}"/>
</file>

<file path=customXml/itemProps4.xml><?xml version="1.0" encoding="utf-8"?>
<ds:datastoreItem xmlns:ds="http://schemas.openxmlformats.org/officeDocument/2006/customXml" ds:itemID="{4A95D825-C609-433D-8A9B-39321E3FF74E}"/>
</file>

<file path=docProps/app.xml><?xml version="1.0" encoding="utf-8"?>
<Properties xmlns="http://schemas.openxmlformats.org/officeDocument/2006/extended-properties" xmlns:vt="http://schemas.openxmlformats.org/officeDocument/2006/docPropsVTypes">
  <Template>Normal.dotm</Template>
  <TotalTime>1</TotalTime>
  <Pages>7</Pages>
  <Words>1941</Words>
  <Characters>11065</Characters>
  <Application>Microsoft Macintosh Word</Application>
  <DocSecurity>0</DocSecurity>
  <Lines>92</Lines>
  <Paragraphs>25</Paragraphs>
  <ScaleCrop>false</ScaleCrop>
  <Company>The American University in Cairo</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Yosra Bedair</dc:creator>
  <cp:keywords/>
  <cp:lastModifiedBy>acs auc</cp:lastModifiedBy>
  <cp:revision>2</cp:revision>
  <dcterms:created xsi:type="dcterms:W3CDTF">2011-10-13T00:24:00Z</dcterms:created>
  <dcterms:modified xsi:type="dcterms:W3CDTF">2011-10-13T00:24:00Z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0x010100984AB9415CE15644978D86FAE0CE8EBC</vt:lpwstr>
  </property>
</Properties>
</file>