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4EA6" w14:textId="77777777" w:rsidR="007356E4" w:rsidRDefault="007356E4" w:rsidP="00704F5C">
      <w:pPr>
        <w:jc w:val="center"/>
        <w:rPr>
          <w:b/>
          <w:bCs/>
          <w:color w:val="2F5496" w:themeColor="accent5" w:themeShade="BF"/>
          <w:sz w:val="32"/>
          <w:szCs w:val="32"/>
        </w:rPr>
      </w:pPr>
    </w:p>
    <w:p w14:paraId="43A40620" w14:textId="77777777" w:rsidR="002E410F" w:rsidRDefault="002E410F" w:rsidP="00704F5C">
      <w:pPr>
        <w:jc w:val="center"/>
        <w:rPr>
          <w:b/>
          <w:bCs/>
          <w:color w:val="2F5496" w:themeColor="accent5" w:themeShade="BF"/>
          <w:sz w:val="32"/>
          <w:szCs w:val="32"/>
        </w:rPr>
      </w:pPr>
    </w:p>
    <w:p w14:paraId="37C20C05" w14:textId="2AD4E00C" w:rsidR="00AC249A" w:rsidRPr="00704F5C" w:rsidRDefault="00C222E0" w:rsidP="00704F5C">
      <w:pPr>
        <w:jc w:val="center"/>
        <w:rPr>
          <w:b/>
          <w:bCs/>
          <w:color w:val="2F5496" w:themeColor="accent5" w:themeShade="BF"/>
          <w:sz w:val="32"/>
          <w:szCs w:val="32"/>
        </w:rPr>
      </w:pPr>
      <w:r>
        <w:rPr>
          <w:b/>
          <w:bCs/>
          <w:color w:val="2F5496" w:themeColor="accent5" w:themeShade="BF"/>
          <w:sz w:val="32"/>
          <w:szCs w:val="32"/>
        </w:rPr>
        <w:t>Background Paper</w:t>
      </w:r>
    </w:p>
    <w:p w14:paraId="09EAA241" w14:textId="77777777" w:rsidR="007356E4" w:rsidRDefault="007356E4"/>
    <w:p w14:paraId="279CC55B" w14:textId="77777777" w:rsidR="007356E4" w:rsidRDefault="007356E4"/>
    <w:p w14:paraId="2A53EB78" w14:textId="095F49BE" w:rsidR="00AC249A" w:rsidRDefault="003F6F2A">
      <w:r>
        <w:rPr>
          <w:noProof/>
        </w:rPr>
        <mc:AlternateContent>
          <mc:Choice Requires="wpi">
            <w:drawing>
              <wp:anchor distT="0" distB="0" distL="114300" distR="114300" simplePos="0" relativeHeight="251663360" behindDoc="0" locked="0" layoutInCell="1" allowOverlap="1" wp14:anchorId="7C51EF31" wp14:editId="23553D1D">
                <wp:simplePos x="0" y="0"/>
                <wp:positionH relativeFrom="column">
                  <wp:posOffset>37465</wp:posOffset>
                </wp:positionH>
                <wp:positionV relativeFrom="paragraph">
                  <wp:posOffset>80645</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30500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25pt;margin-top:5.6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">
                <v:imagedata r:id="rId9" o:title=""/>
              </v:shape>
            </w:pict>
          </mc:Fallback>
        </mc:AlternateContent>
      </w:r>
    </w:p>
    <w:p w14:paraId="707D114A" w14:textId="766CC0B0" w:rsidR="00AC249A" w:rsidRDefault="003F6F2A">
      <w:r>
        <w:rPr>
          <w:noProof/>
        </w:rPr>
        <mc:AlternateContent>
          <mc:Choice Requires="wpi">
            <w:drawing>
              <wp:anchor distT="0" distB="0" distL="114300" distR="114300" simplePos="0" relativeHeight="251660288" behindDoc="0" locked="0" layoutInCell="1" allowOverlap="1" wp14:anchorId="4529131A" wp14:editId="1B4FF617">
                <wp:simplePos x="0" y="0"/>
                <wp:positionH relativeFrom="column">
                  <wp:posOffset>133150</wp:posOffset>
                </wp:positionH>
                <wp:positionV relativeFrom="paragraph">
                  <wp:posOffset>43635</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0D994D2" id="Ink 3" o:spid="_x0000_s1026" type="#_x0000_t75" style="position:absolute;margin-left:9.8pt;margin-top:2.7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">
                <v:imagedata r:id="rId11" o:title=""/>
              </v:shape>
            </w:pict>
          </mc:Fallback>
        </mc:AlternateContent>
      </w:r>
      <w:r>
        <w:rPr>
          <w:noProof/>
        </w:rPr>
        <mc:AlternateContent>
          <mc:Choice Requires="wpi">
            <w:drawing>
              <wp:anchor distT="0" distB="0" distL="114300" distR="114300" simplePos="0" relativeHeight="251659264" behindDoc="0" locked="0" layoutInCell="1" allowOverlap="1" wp14:anchorId="26942810" wp14:editId="228BAA03">
                <wp:simplePos x="0" y="0"/>
                <wp:positionH relativeFrom="column">
                  <wp:posOffset>380830</wp:posOffset>
                </wp:positionH>
                <wp:positionV relativeFrom="paragraph">
                  <wp:posOffset>119595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1EAF79A" id="Ink 1" o:spid="_x0000_s1026" type="#_x0000_t75" style="position:absolute;margin-left:29.3pt;margin-top:8.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">
                <v:imagedata r:id="rId11" o:title=""/>
              </v:shape>
            </w:pict>
          </mc:Fallback>
        </mc:AlternateContent>
      </w:r>
    </w:p>
    <w:p w14:paraId="1B94E75A" w14:textId="5C7A2C7E" w:rsidR="006220B9" w:rsidRDefault="00D55302" w:rsidP="00DC2408">
      <w:pPr>
        <w:jc w:val="center"/>
        <w:rPr>
          <w:b/>
          <w:bCs/>
          <w:color w:val="2F5496" w:themeColor="accent5" w:themeShade="BF"/>
          <w:sz w:val="40"/>
          <w:szCs w:val="40"/>
        </w:rPr>
      </w:pPr>
      <w:r>
        <w:rPr>
          <w:b/>
          <w:bCs/>
          <w:color w:val="2F5496" w:themeColor="accent5" w:themeShade="BF"/>
          <w:sz w:val="40"/>
          <w:szCs w:val="40"/>
        </w:rPr>
        <w:t xml:space="preserve">Setting the Stage for an Information </w:t>
      </w:r>
      <w:r w:rsidR="00C222E0">
        <w:rPr>
          <w:b/>
          <w:bCs/>
          <w:color w:val="2F5496" w:themeColor="accent5" w:themeShade="BF"/>
          <w:sz w:val="40"/>
          <w:szCs w:val="40"/>
        </w:rPr>
        <w:t>System</w:t>
      </w:r>
    </w:p>
    <w:p w14:paraId="47002EE3" w14:textId="76ADEE38" w:rsidR="000830FA" w:rsidRDefault="00685D34" w:rsidP="00C222E0">
      <w:pPr>
        <w:jc w:val="center"/>
        <w:rPr>
          <w:b/>
          <w:bCs/>
          <w:color w:val="2F5496" w:themeColor="accent5" w:themeShade="BF"/>
          <w:sz w:val="40"/>
          <w:szCs w:val="40"/>
        </w:rPr>
      </w:pPr>
      <w:r>
        <w:rPr>
          <w:b/>
          <w:bCs/>
          <w:color w:val="2F5496" w:themeColor="accent5" w:themeShade="BF"/>
          <w:sz w:val="40"/>
          <w:szCs w:val="40"/>
        </w:rPr>
        <w:t>f</w:t>
      </w:r>
      <w:r w:rsidR="00D55302">
        <w:rPr>
          <w:b/>
          <w:bCs/>
          <w:color w:val="2F5496" w:themeColor="accent5" w:themeShade="BF"/>
          <w:sz w:val="40"/>
          <w:szCs w:val="40"/>
        </w:rPr>
        <w:t>or Health</w:t>
      </w:r>
    </w:p>
    <w:p w14:paraId="234A04B7" w14:textId="77777777" w:rsidR="000830FA" w:rsidRDefault="000830FA" w:rsidP="00C222E0">
      <w:pPr>
        <w:jc w:val="center"/>
        <w:rPr>
          <w:b/>
          <w:bCs/>
          <w:color w:val="2F5496" w:themeColor="accent5" w:themeShade="BF"/>
          <w:sz w:val="40"/>
          <w:szCs w:val="40"/>
        </w:rPr>
      </w:pPr>
    </w:p>
    <w:p w14:paraId="49B151E4" w14:textId="0D397BAA" w:rsidR="000830FA" w:rsidRPr="00704F5C" w:rsidRDefault="000830FA" w:rsidP="00C222E0">
      <w:pPr>
        <w:jc w:val="center"/>
        <w:rPr>
          <w:b/>
          <w:bCs/>
          <w:color w:val="2F5496" w:themeColor="accent5" w:themeShade="BF"/>
          <w:sz w:val="40"/>
          <w:szCs w:val="40"/>
        </w:rPr>
      </w:pPr>
    </w:p>
    <w:p w14:paraId="3A46EA8B" w14:textId="77777777" w:rsidR="00AC249A" w:rsidRDefault="00AC249A"/>
    <w:p w14:paraId="6E6B3AEC" w14:textId="41C3CEF1" w:rsidR="00704F5C" w:rsidRDefault="00704F5C"/>
    <w:p w14:paraId="0FE6D6D6" w14:textId="0F20D81B" w:rsidR="007356E4" w:rsidRPr="001142AE" w:rsidRDefault="007356E4" w:rsidP="001142AE">
      <w:pPr>
        <w:jc w:val="center"/>
        <w:rPr>
          <w:b/>
          <w:bCs/>
          <w:color w:val="2F5496" w:themeColor="accent5" w:themeShade="BF"/>
          <w:sz w:val="28"/>
          <w:szCs w:val="28"/>
        </w:rPr>
      </w:pPr>
    </w:p>
    <w:p w14:paraId="7A0F39D4" w14:textId="21938D13" w:rsidR="007356E4" w:rsidRPr="001142AE" w:rsidRDefault="001142AE" w:rsidP="001142AE">
      <w:pPr>
        <w:jc w:val="center"/>
        <w:rPr>
          <w:b/>
          <w:bCs/>
          <w:color w:val="2F5496" w:themeColor="accent5" w:themeShade="BF"/>
          <w:sz w:val="28"/>
          <w:szCs w:val="28"/>
        </w:rPr>
      </w:pPr>
      <w:r w:rsidRPr="001142AE">
        <w:rPr>
          <w:b/>
          <w:bCs/>
          <w:color w:val="2F5496" w:themeColor="accent5" w:themeShade="BF"/>
          <w:sz w:val="28"/>
          <w:szCs w:val="28"/>
        </w:rPr>
        <w:t xml:space="preserve">Sherine Shawky, </w:t>
      </w:r>
      <w:proofErr w:type="spellStart"/>
      <w:r w:rsidRPr="001142AE">
        <w:rPr>
          <w:b/>
          <w:bCs/>
          <w:color w:val="2F5496" w:themeColor="accent5" w:themeShade="BF"/>
          <w:sz w:val="28"/>
          <w:szCs w:val="28"/>
        </w:rPr>
        <w:t>Hoda</w:t>
      </w:r>
      <w:proofErr w:type="spellEnd"/>
      <w:r w:rsidRPr="001142AE">
        <w:rPr>
          <w:b/>
          <w:bCs/>
          <w:color w:val="2F5496" w:themeColor="accent5" w:themeShade="BF"/>
          <w:sz w:val="28"/>
          <w:szCs w:val="28"/>
        </w:rPr>
        <w:t xml:space="preserve"> Rashad, Zeinab Khadr</w:t>
      </w:r>
    </w:p>
    <w:p w14:paraId="3497E8F8" w14:textId="0A3F54A8" w:rsidR="001142AE" w:rsidRPr="001142AE" w:rsidRDefault="001142AE" w:rsidP="001142AE">
      <w:pPr>
        <w:jc w:val="center"/>
        <w:rPr>
          <w:b/>
          <w:bCs/>
          <w:color w:val="2F5496" w:themeColor="accent5" w:themeShade="BF"/>
          <w:sz w:val="28"/>
          <w:szCs w:val="28"/>
        </w:rPr>
      </w:pPr>
      <w:r w:rsidRPr="001142AE">
        <w:rPr>
          <w:b/>
          <w:bCs/>
          <w:color w:val="2F5496" w:themeColor="accent5" w:themeShade="BF"/>
          <w:sz w:val="28"/>
          <w:szCs w:val="28"/>
        </w:rPr>
        <w:t>The Social Research Center, The American University in Cairo</w:t>
      </w:r>
    </w:p>
    <w:p w14:paraId="344B0767" w14:textId="3D67B8D5" w:rsidR="007356E4" w:rsidRPr="001142AE" w:rsidRDefault="007356E4" w:rsidP="001142AE">
      <w:pPr>
        <w:jc w:val="center"/>
        <w:rPr>
          <w:b/>
          <w:bCs/>
          <w:color w:val="2F5496" w:themeColor="accent5" w:themeShade="BF"/>
          <w:sz w:val="28"/>
          <w:szCs w:val="28"/>
        </w:rPr>
      </w:pPr>
    </w:p>
    <w:p w14:paraId="4F2AA8FB" w14:textId="32A18AB6" w:rsidR="007356E4" w:rsidRPr="001142AE" w:rsidRDefault="007356E4">
      <w:pPr>
        <w:rPr>
          <w:color w:val="2F5496" w:themeColor="accent5" w:themeShade="BF"/>
        </w:rPr>
      </w:pPr>
    </w:p>
    <w:p w14:paraId="7A5346AC" w14:textId="77777777" w:rsidR="007356E4" w:rsidRDefault="007356E4"/>
    <w:p w14:paraId="641F6998" w14:textId="2422C948" w:rsidR="007356E4" w:rsidRDefault="007356E4"/>
    <w:p w14:paraId="6590998F" w14:textId="775FEAF2" w:rsidR="007356E4" w:rsidRDefault="007356E4"/>
    <w:p w14:paraId="35C54A9D" w14:textId="062A9FEC" w:rsidR="007356E4" w:rsidRPr="007356E4" w:rsidRDefault="00E77C73" w:rsidP="007356E4">
      <w:pPr>
        <w:jc w:val="center"/>
        <w:rPr>
          <w:b/>
          <w:bCs/>
          <w:color w:val="2F5496" w:themeColor="accent5" w:themeShade="BF"/>
          <w:sz w:val="32"/>
          <w:szCs w:val="32"/>
        </w:rPr>
      </w:pPr>
      <w:r>
        <w:rPr>
          <w:b/>
          <w:bCs/>
          <w:color w:val="2F5496" w:themeColor="accent5" w:themeShade="BF"/>
          <w:sz w:val="32"/>
          <w:szCs w:val="32"/>
        </w:rPr>
        <w:t xml:space="preserve">Sept </w:t>
      </w:r>
      <w:r w:rsidR="0030161F">
        <w:rPr>
          <w:b/>
          <w:bCs/>
          <w:color w:val="2F5496" w:themeColor="accent5" w:themeShade="BF"/>
          <w:sz w:val="32"/>
          <w:szCs w:val="32"/>
        </w:rPr>
        <w:t>20</w:t>
      </w:r>
      <w:r w:rsidR="007356E4" w:rsidRPr="007356E4">
        <w:rPr>
          <w:b/>
          <w:bCs/>
          <w:color w:val="2F5496" w:themeColor="accent5" w:themeShade="BF"/>
          <w:sz w:val="32"/>
          <w:szCs w:val="32"/>
        </w:rPr>
        <w:t>, 2021</w:t>
      </w:r>
    </w:p>
    <w:p w14:paraId="4DA0A026" w14:textId="77777777" w:rsidR="00AC249A" w:rsidRDefault="00AC249A">
      <w:r>
        <w:br w:type="page"/>
      </w:r>
    </w:p>
    <w:p w14:paraId="262CC0DA" w14:textId="77777777" w:rsidR="00AC249A" w:rsidRPr="003C2117" w:rsidRDefault="00AC249A">
      <w:pPr>
        <w:rPr>
          <w:b/>
          <w:bCs/>
          <w:color w:val="2F5496" w:themeColor="accent5" w:themeShade="BF"/>
          <w:sz w:val="32"/>
          <w:szCs w:val="32"/>
        </w:rPr>
      </w:pPr>
      <w:r w:rsidRPr="003C2117">
        <w:rPr>
          <w:b/>
          <w:bCs/>
          <w:color w:val="2F5496" w:themeColor="accent5" w:themeShade="BF"/>
          <w:sz w:val="32"/>
          <w:szCs w:val="32"/>
        </w:rPr>
        <w:lastRenderedPageBreak/>
        <w:t>Content</w:t>
      </w:r>
    </w:p>
    <w:p w14:paraId="6E2CEB4E" w14:textId="4873D186" w:rsidR="004F0DE9" w:rsidRDefault="004F0DE9">
      <w:pPr>
        <w:pStyle w:val="TOC1"/>
        <w:rPr>
          <w:rFonts w:asciiTheme="minorHAnsi" w:eastAsiaTheme="minorEastAsia" w:hAnsiTheme="minorHAnsi" w:cstheme="minorBidi"/>
          <w:noProof/>
        </w:rPr>
      </w:pPr>
      <w:r>
        <w:fldChar w:fldCharType="begin"/>
      </w:r>
      <w:r>
        <w:instrText xml:space="preserve"> TOC \o "1-2" \h \z \u </w:instrText>
      </w:r>
      <w:r>
        <w:fldChar w:fldCharType="separate"/>
      </w:r>
      <w:hyperlink w:anchor="_Toc84408400" w:history="1">
        <w:r w:rsidRPr="00290C74">
          <w:rPr>
            <w:rStyle w:val="Hyperlink"/>
            <w:noProof/>
          </w:rPr>
          <w:t>List of Acronyms</w:t>
        </w:r>
        <w:r>
          <w:rPr>
            <w:noProof/>
            <w:webHidden/>
          </w:rPr>
          <w:tab/>
        </w:r>
        <w:r>
          <w:rPr>
            <w:noProof/>
            <w:webHidden/>
          </w:rPr>
          <w:fldChar w:fldCharType="begin"/>
        </w:r>
        <w:r>
          <w:rPr>
            <w:noProof/>
            <w:webHidden/>
          </w:rPr>
          <w:instrText xml:space="preserve"> PAGEREF _Toc84408400 \h </w:instrText>
        </w:r>
        <w:r>
          <w:rPr>
            <w:noProof/>
            <w:webHidden/>
          </w:rPr>
        </w:r>
        <w:r>
          <w:rPr>
            <w:noProof/>
            <w:webHidden/>
          </w:rPr>
          <w:fldChar w:fldCharType="separate"/>
        </w:r>
        <w:r w:rsidR="001142AE">
          <w:rPr>
            <w:noProof/>
            <w:webHidden/>
          </w:rPr>
          <w:t>ii</w:t>
        </w:r>
        <w:r>
          <w:rPr>
            <w:noProof/>
            <w:webHidden/>
          </w:rPr>
          <w:fldChar w:fldCharType="end"/>
        </w:r>
      </w:hyperlink>
    </w:p>
    <w:p w14:paraId="4C4BFC82" w14:textId="4AC7CFBE" w:rsidR="004F0DE9" w:rsidRDefault="00B62B74">
      <w:pPr>
        <w:pStyle w:val="TOC1"/>
        <w:rPr>
          <w:rFonts w:asciiTheme="minorHAnsi" w:eastAsiaTheme="minorEastAsia" w:hAnsiTheme="minorHAnsi" w:cstheme="minorBidi"/>
          <w:noProof/>
        </w:rPr>
      </w:pPr>
      <w:hyperlink w:anchor="_Toc84408401" w:history="1">
        <w:r w:rsidR="004F0DE9" w:rsidRPr="00290C74">
          <w:rPr>
            <w:rStyle w:val="Hyperlink"/>
            <w:noProof/>
          </w:rPr>
          <w:t>Executive Summary</w:t>
        </w:r>
        <w:r w:rsidR="004F0DE9">
          <w:rPr>
            <w:noProof/>
            <w:webHidden/>
          </w:rPr>
          <w:tab/>
        </w:r>
        <w:r w:rsidR="004F0DE9">
          <w:rPr>
            <w:noProof/>
            <w:webHidden/>
          </w:rPr>
          <w:fldChar w:fldCharType="begin"/>
        </w:r>
        <w:r w:rsidR="004F0DE9">
          <w:rPr>
            <w:noProof/>
            <w:webHidden/>
          </w:rPr>
          <w:instrText xml:space="preserve"> PAGEREF _Toc84408401 \h </w:instrText>
        </w:r>
        <w:r w:rsidR="004F0DE9">
          <w:rPr>
            <w:noProof/>
            <w:webHidden/>
          </w:rPr>
        </w:r>
        <w:r w:rsidR="004F0DE9">
          <w:rPr>
            <w:noProof/>
            <w:webHidden/>
          </w:rPr>
          <w:fldChar w:fldCharType="separate"/>
        </w:r>
        <w:r w:rsidR="001142AE">
          <w:rPr>
            <w:noProof/>
            <w:webHidden/>
          </w:rPr>
          <w:t>ii</w:t>
        </w:r>
        <w:r w:rsidR="004F0DE9">
          <w:rPr>
            <w:noProof/>
            <w:webHidden/>
          </w:rPr>
          <w:fldChar w:fldCharType="end"/>
        </w:r>
      </w:hyperlink>
    </w:p>
    <w:p w14:paraId="1A22D3BB" w14:textId="454B1564" w:rsidR="004F0DE9" w:rsidRDefault="00B62B74">
      <w:pPr>
        <w:pStyle w:val="TOC1"/>
        <w:rPr>
          <w:rFonts w:asciiTheme="minorHAnsi" w:eastAsiaTheme="minorEastAsia" w:hAnsiTheme="minorHAnsi" w:cstheme="minorBidi"/>
          <w:noProof/>
        </w:rPr>
      </w:pPr>
      <w:hyperlink w:anchor="_Toc84408402" w:history="1">
        <w:r w:rsidR="004F0DE9" w:rsidRPr="00290C74">
          <w:rPr>
            <w:rStyle w:val="Hyperlink"/>
            <w:noProof/>
          </w:rPr>
          <w:t>Summary of rethinking information system for health</w:t>
        </w:r>
        <w:r w:rsidR="004F0DE9">
          <w:rPr>
            <w:noProof/>
            <w:webHidden/>
          </w:rPr>
          <w:tab/>
        </w:r>
        <w:r w:rsidR="004F0DE9">
          <w:rPr>
            <w:noProof/>
            <w:webHidden/>
          </w:rPr>
          <w:fldChar w:fldCharType="begin"/>
        </w:r>
        <w:r w:rsidR="004F0DE9">
          <w:rPr>
            <w:noProof/>
            <w:webHidden/>
          </w:rPr>
          <w:instrText xml:space="preserve"> PAGEREF _Toc84408402 \h </w:instrText>
        </w:r>
        <w:r w:rsidR="004F0DE9">
          <w:rPr>
            <w:noProof/>
            <w:webHidden/>
          </w:rPr>
        </w:r>
        <w:r w:rsidR="004F0DE9">
          <w:rPr>
            <w:noProof/>
            <w:webHidden/>
          </w:rPr>
          <w:fldChar w:fldCharType="separate"/>
        </w:r>
        <w:r w:rsidR="001142AE">
          <w:rPr>
            <w:noProof/>
            <w:webHidden/>
          </w:rPr>
          <w:t>ii</w:t>
        </w:r>
        <w:r w:rsidR="004F0DE9">
          <w:rPr>
            <w:noProof/>
            <w:webHidden/>
          </w:rPr>
          <w:fldChar w:fldCharType="end"/>
        </w:r>
      </w:hyperlink>
    </w:p>
    <w:p w14:paraId="452171DE" w14:textId="172F00E2" w:rsidR="004F0DE9" w:rsidRDefault="00B62B74">
      <w:pPr>
        <w:pStyle w:val="TOC1"/>
        <w:rPr>
          <w:rFonts w:asciiTheme="minorHAnsi" w:eastAsiaTheme="minorEastAsia" w:hAnsiTheme="minorHAnsi" w:cstheme="minorBidi"/>
          <w:noProof/>
        </w:rPr>
      </w:pPr>
      <w:hyperlink w:anchor="_Toc84408403" w:history="1">
        <w:r w:rsidR="004F0DE9" w:rsidRPr="00290C74">
          <w:rPr>
            <w:rStyle w:val="Hyperlink"/>
            <w:noProof/>
          </w:rPr>
          <w:t>Introduction</w:t>
        </w:r>
        <w:r w:rsidR="004F0DE9">
          <w:rPr>
            <w:noProof/>
            <w:webHidden/>
          </w:rPr>
          <w:tab/>
        </w:r>
        <w:r w:rsidR="004F0DE9">
          <w:rPr>
            <w:noProof/>
            <w:webHidden/>
          </w:rPr>
          <w:tab/>
        </w:r>
        <w:r w:rsidR="004F0DE9">
          <w:rPr>
            <w:noProof/>
            <w:webHidden/>
          </w:rPr>
          <w:fldChar w:fldCharType="begin"/>
        </w:r>
        <w:r w:rsidR="004F0DE9">
          <w:rPr>
            <w:noProof/>
            <w:webHidden/>
          </w:rPr>
          <w:instrText xml:space="preserve"> PAGEREF _Toc84408403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2F1A2FAF" w14:textId="4C49A320" w:rsidR="004F0DE9" w:rsidRDefault="00B62B74">
      <w:pPr>
        <w:pStyle w:val="TOC1"/>
        <w:rPr>
          <w:rFonts w:asciiTheme="minorHAnsi" w:eastAsiaTheme="minorEastAsia" w:hAnsiTheme="minorHAnsi" w:cstheme="minorBidi"/>
          <w:noProof/>
        </w:rPr>
      </w:pPr>
      <w:hyperlink w:anchor="_Toc84408404" w:history="1">
        <w:r w:rsidR="004F0DE9" w:rsidRPr="00290C74">
          <w:rPr>
            <w:rStyle w:val="Hyperlink"/>
            <w:noProof/>
          </w:rPr>
          <w:t>Part One: Paradigm shift in thinking health and information for health</w:t>
        </w:r>
        <w:r w:rsidR="004F0DE9">
          <w:rPr>
            <w:noProof/>
            <w:webHidden/>
          </w:rPr>
          <w:tab/>
        </w:r>
        <w:r w:rsidR="004F0DE9">
          <w:rPr>
            <w:noProof/>
            <w:webHidden/>
          </w:rPr>
          <w:fldChar w:fldCharType="begin"/>
        </w:r>
        <w:r w:rsidR="004F0DE9">
          <w:rPr>
            <w:noProof/>
            <w:webHidden/>
          </w:rPr>
          <w:instrText xml:space="preserve"> PAGEREF _Toc84408404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1AA424D8" w14:textId="70A34D8D" w:rsidR="004F0DE9" w:rsidRDefault="00B62B74">
      <w:pPr>
        <w:pStyle w:val="TOC2"/>
        <w:tabs>
          <w:tab w:val="right" w:leader="dot" w:pos="9350"/>
        </w:tabs>
        <w:rPr>
          <w:rFonts w:asciiTheme="minorHAnsi" w:eastAsiaTheme="minorEastAsia" w:hAnsiTheme="minorHAnsi" w:cstheme="minorBidi"/>
          <w:noProof/>
        </w:rPr>
      </w:pPr>
      <w:hyperlink w:anchor="_Toc84408405" w:history="1">
        <w:r w:rsidR="004F0DE9" w:rsidRPr="00290C74">
          <w:rPr>
            <w:rStyle w:val="Hyperlink"/>
            <w:noProof/>
          </w:rPr>
          <w:t>I.1. The value of health as a right for everyone and a social goal is well established</w:t>
        </w:r>
        <w:r w:rsidR="004F0DE9">
          <w:rPr>
            <w:noProof/>
            <w:webHidden/>
          </w:rPr>
          <w:tab/>
        </w:r>
        <w:r w:rsidR="004F0DE9">
          <w:rPr>
            <w:noProof/>
            <w:webHidden/>
          </w:rPr>
          <w:fldChar w:fldCharType="begin"/>
        </w:r>
        <w:r w:rsidR="004F0DE9">
          <w:rPr>
            <w:noProof/>
            <w:webHidden/>
          </w:rPr>
          <w:instrText xml:space="preserve"> PAGEREF _Toc84408405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262624E6" w14:textId="7968858D" w:rsidR="004F0DE9" w:rsidRDefault="00B62B74">
      <w:pPr>
        <w:pStyle w:val="TOC2"/>
        <w:tabs>
          <w:tab w:val="right" w:leader="dot" w:pos="9350"/>
        </w:tabs>
        <w:rPr>
          <w:rFonts w:asciiTheme="minorHAnsi" w:eastAsiaTheme="minorEastAsia" w:hAnsiTheme="minorHAnsi" w:cstheme="minorBidi"/>
          <w:noProof/>
        </w:rPr>
      </w:pPr>
      <w:hyperlink w:anchor="_Toc84408406" w:history="1">
        <w:r w:rsidR="004F0DE9" w:rsidRPr="00290C74">
          <w:rPr>
            <w:rStyle w:val="Hyperlink"/>
            <w:noProof/>
          </w:rPr>
          <w:t>I.2. The social determinants of health are acknowledged as root causes of ill health and health inequities</w:t>
        </w:r>
        <w:r w:rsidR="004F0DE9">
          <w:rPr>
            <w:noProof/>
            <w:webHidden/>
          </w:rPr>
          <w:tab/>
        </w:r>
        <w:r w:rsidR="004F0DE9">
          <w:rPr>
            <w:noProof/>
            <w:webHidden/>
          </w:rPr>
          <w:fldChar w:fldCharType="begin"/>
        </w:r>
        <w:r w:rsidR="004F0DE9">
          <w:rPr>
            <w:noProof/>
            <w:webHidden/>
          </w:rPr>
          <w:instrText xml:space="preserve"> PAGEREF _Toc84408406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20624866" w14:textId="40C7249E" w:rsidR="004F0DE9" w:rsidRDefault="00B62B74">
      <w:pPr>
        <w:pStyle w:val="TOC2"/>
        <w:tabs>
          <w:tab w:val="right" w:leader="dot" w:pos="9350"/>
        </w:tabs>
        <w:rPr>
          <w:rFonts w:asciiTheme="minorHAnsi" w:eastAsiaTheme="minorEastAsia" w:hAnsiTheme="minorHAnsi" w:cstheme="minorBidi"/>
          <w:noProof/>
        </w:rPr>
      </w:pPr>
      <w:hyperlink w:anchor="_Toc84408407" w:history="1">
        <w:r w:rsidR="004F0DE9" w:rsidRPr="00290C74">
          <w:rPr>
            <w:rStyle w:val="Hyperlink"/>
            <w:noProof/>
          </w:rPr>
          <w:t>I.3. Health policies and interventions are hardly sufficient to improve the health of the socially disadvantaged groups</w:t>
        </w:r>
        <w:r w:rsidR="004F0DE9">
          <w:rPr>
            <w:noProof/>
            <w:webHidden/>
          </w:rPr>
          <w:tab/>
        </w:r>
        <w:r w:rsidR="004F0DE9">
          <w:rPr>
            <w:noProof/>
            <w:webHidden/>
          </w:rPr>
          <w:fldChar w:fldCharType="begin"/>
        </w:r>
        <w:r w:rsidR="004F0DE9">
          <w:rPr>
            <w:noProof/>
            <w:webHidden/>
          </w:rPr>
          <w:instrText xml:space="preserve"> PAGEREF _Toc84408407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75803769" w14:textId="1FB37796" w:rsidR="004F0DE9" w:rsidRDefault="00B62B74">
      <w:pPr>
        <w:pStyle w:val="TOC2"/>
        <w:tabs>
          <w:tab w:val="right" w:leader="dot" w:pos="9350"/>
        </w:tabs>
        <w:rPr>
          <w:rFonts w:asciiTheme="minorHAnsi" w:eastAsiaTheme="minorEastAsia" w:hAnsiTheme="minorHAnsi" w:cstheme="minorBidi"/>
          <w:noProof/>
        </w:rPr>
      </w:pPr>
      <w:hyperlink w:anchor="_Toc84408408" w:history="1">
        <w:r w:rsidR="004F0DE9" w:rsidRPr="00290C74">
          <w:rPr>
            <w:rStyle w:val="Hyperlink"/>
            <w:noProof/>
          </w:rPr>
          <w:t>I.4. There is a global consensus on the need for comprehensive and quality data for fair policies and actions</w:t>
        </w:r>
        <w:r w:rsidR="004F0DE9">
          <w:rPr>
            <w:noProof/>
            <w:webHidden/>
          </w:rPr>
          <w:tab/>
        </w:r>
        <w:r w:rsidR="004F0DE9">
          <w:rPr>
            <w:noProof/>
            <w:webHidden/>
          </w:rPr>
          <w:fldChar w:fldCharType="begin"/>
        </w:r>
        <w:r w:rsidR="004F0DE9">
          <w:rPr>
            <w:noProof/>
            <w:webHidden/>
          </w:rPr>
          <w:instrText xml:space="preserve"> PAGEREF _Toc84408408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52DAA67D" w14:textId="5EA97E64" w:rsidR="004F0DE9" w:rsidRDefault="00B62B74">
      <w:pPr>
        <w:pStyle w:val="TOC2"/>
        <w:tabs>
          <w:tab w:val="right" w:leader="dot" w:pos="9350"/>
        </w:tabs>
        <w:rPr>
          <w:rFonts w:asciiTheme="minorHAnsi" w:eastAsiaTheme="minorEastAsia" w:hAnsiTheme="minorHAnsi" w:cstheme="minorBidi"/>
          <w:noProof/>
        </w:rPr>
      </w:pPr>
      <w:hyperlink w:anchor="_Toc84408409" w:history="1">
        <w:r w:rsidR="004F0DE9" w:rsidRPr="00290C74">
          <w:rPr>
            <w:rStyle w:val="Hyperlink"/>
            <w:noProof/>
          </w:rPr>
          <w:t>I.5. Fair solutions cannot be reached without fair evidence</w:t>
        </w:r>
        <w:r w:rsidR="004F0DE9">
          <w:rPr>
            <w:noProof/>
            <w:webHidden/>
          </w:rPr>
          <w:tab/>
        </w:r>
        <w:r w:rsidR="004F0DE9">
          <w:rPr>
            <w:noProof/>
            <w:webHidden/>
          </w:rPr>
          <w:fldChar w:fldCharType="begin"/>
        </w:r>
        <w:r w:rsidR="004F0DE9">
          <w:rPr>
            <w:noProof/>
            <w:webHidden/>
          </w:rPr>
          <w:instrText xml:space="preserve"> PAGEREF _Toc84408409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2931E041" w14:textId="0CBA930C" w:rsidR="004F0DE9" w:rsidRDefault="00B62B74">
      <w:pPr>
        <w:pStyle w:val="TOC1"/>
        <w:rPr>
          <w:rFonts w:asciiTheme="minorHAnsi" w:eastAsiaTheme="minorEastAsia" w:hAnsiTheme="minorHAnsi" w:cstheme="minorBidi"/>
          <w:noProof/>
        </w:rPr>
      </w:pPr>
      <w:hyperlink w:anchor="_Toc84408410" w:history="1">
        <w:r w:rsidR="004F0DE9" w:rsidRPr="00290C74">
          <w:rPr>
            <w:rStyle w:val="Hyperlink"/>
            <w:noProof/>
          </w:rPr>
          <w:t>Part Two: Gaps and challenges in the health information systems</w:t>
        </w:r>
        <w:r w:rsidR="004F0DE9">
          <w:rPr>
            <w:noProof/>
            <w:webHidden/>
          </w:rPr>
          <w:tab/>
        </w:r>
        <w:r w:rsidR="004F0DE9">
          <w:rPr>
            <w:noProof/>
            <w:webHidden/>
          </w:rPr>
          <w:fldChar w:fldCharType="begin"/>
        </w:r>
        <w:r w:rsidR="004F0DE9">
          <w:rPr>
            <w:noProof/>
            <w:webHidden/>
          </w:rPr>
          <w:instrText xml:space="preserve"> PAGEREF _Toc84408410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7974E517" w14:textId="00E7CA90" w:rsidR="004F0DE9" w:rsidRDefault="00B62B74">
      <w:pPr>
        <w:pStyle w:val="TOC2"/>
        <w:tabs>
          <w:tab w:val="right" w:leader="dot" w:pos="9350"/>
        </w:tabs>
        <w:rPr>
          <w:rFonts w:asciiTheme="minorHAnsi" w:eastAsiaTheme="minorEastAsia" w:hAnsiTheme="minorHAnsi" w:cstheme="minorBidi"/>
          <w:noProof/>
        </w:rPr>
      </w:pPr>
      <w:hyperlink w:anchor="_Toc84408411" w:history="1">
        <w:r w:rsidR="004F0DE9" w:rsidRPr="00290C74">
          <w:rPr>
            <w:rStyle w:val="Hyperlink"/>
            <w:noProof/>
          </w:rPr>
          <w:t>II.1. Gaps in the global health information systems</w:t>
        </w:r>
        <w:r w:rsidR="004F0DE9">
          <w:rPr>
            <w:noProof/>
            <w:webHidden/>
          </w:rPr>
          <w:tab/>
        </w:r>
        <w:r w:rsidR="004F0DE9">
          <w:rPr>
            <w:noProof/>
            <w:webHidden/>
          </w:rPr>
          <w:fldChar w:fldCharType="begin"/>
        </w:r>
        <w:r w:rsidR="004F0DE9">
          <w:rPr>
            <w:noProof/>
            <w:webHidden/>
          </w:rPr>
          <w:instrText xml:space="preserve"> PAGEREF _Toc84408411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1485AE80" w14:textId="1AFD6867" w:rsidR="004F0DE9" w:rsidRDefault="00B62B74">
      <w:pPr>
        <w:pStyle w:val="TOC2"/>
        <w:tabs>
          <w:tab w:val="right" w:leader="dot" w:pos="9350"/>
        </w:tabs>
        <w:rPr>
          <w:rFonts w:asciiTheme="minorHAnsi" w:eastAsiaTheme="minorEastAsia" w:hAnsiTheme="minorHAnsi" w:cstheme="minorBidi"/>
          <w:noProof/>
        </w:rPr>
      </w:pPr>
      <w:hyperlink w:anchor="_Toc84408412" w:history="1">
        <w:r w:rsidR="004F0DE9" w:rsidRPr="00290C74">
          <w:rPr>
            <w:rStyle w:val="Hyperlink"/>
            <w:noProof/>
          </w:rPr>
          <w:t>II.2. Gaps in the national health information systems in the Arab region</w:t>
        </w:r>
        <w:r w:rsidR="004F0DE9">
          <w:rPr>
            <w:noProof/>
            <w:webHidden/>
          </w:rPr>
          <w:tab/>
        </w:r>
        <w:r w:rsidR="004F0DE9">
          <w:rPr>
            <w:noProof/>
            <w:webHidden/>
          </w:rPr>
          <w:fldChar w:fldCharType="begin"/>
        </w:r>
        <w:r w:rsidR="004F0DE9">
          <w:rPr>
            <w:noProof/>
            <w:webHidden/>
          </w:rPr>
          <w:instrText xml:space="preserve"> PAGEREF _Toc84408412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678423D0" w14:textId="7FF5C793" w:rsidR="004F0DE9" w:rsidRDefault="00B62B74">
      <w:pPr>
        <w:pStyle w:val="TOC2"/>
        <w:tabs>
          <w:tab w:val="right" w:leader="dot" w:pos="9350"/>
        </w:tabs>
        <w:rPr>
          <w:rFonts w:asciiTheme="minorHAnsi" w:eastAsiaTheme="minorEastAsia" w:hAnsiTheme="minorHAnsi" w:cstheme="minorBidi"/>
          <w:noProof/>
        </w:rPr>
      </w:pPr>
      <w:hyperlink w:anchor="_Toc84408413" w:history="1">
        <w:r w:rsidR="004F0DE9" w:rsidRPr="00290C74">
          <w:rPr>
            <w:rStyle w:val="Hyperlink"/>
            <w:noProof/>
          </w:rPr>
          <w:t>II.3. The challenges in proposing an equity sensitive information system for health</w:t>
        </w:r>
        <w:r w:rsidR="004F0DE9">
          <w:rPr>
            <w:noProof/>
            <w:webHidden/>
          </w:rPr>
          <w:tab/>
        </w:r>
        <w:r w:rsidR="004F0DE9">
          <w:rPr>
            <w:noProof/>
            <w:webHidden/>
          </w:rPr>
          <w:fldChar w:fldCharType="begin"/>
        </w:r>
        <w:r w:rsidR="004F0DE9">
          <w:rPr>
            <w:noProof/>
            <w:webHidden/>
          </w:rPr>
          <w:instrText xml:space="preserve"> PAGEREF _Toc84408413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535ECF0F" w14:textId="103325D1" w:rsidR="004F0DE9" w:rsidRDefault="00B62B74">
      <w:pPr>
        <w:pStyle w:val="TOC1"/>
        <w:rPr>
          <w:rFonts w:asciiTheme="minorHAnsi" w:eastAsiaTheme="minorEastAsia" w:hAnsiTheme="minorHAnsi" w:cstheme="minorBidi"/>
          <w:noProof/>
        </w:rPr>
      </w:pPr>
      <w:hyperlink w:anchor="_Toc84408414" w:history="1">
        <w:r w:rsidR="004F0DE9" w:rsidRPr="00290C74">
          <w:rPr>
            <w:rStyle w:val="Hyperlink"/>
            <w:noProof/>
          </w:rPr>
          <w:t>Part Three: Rethinking information systems for health and wellbeing</w:t>
        </w:r>
        <w:r w:rsidR="004F0DE9">
          <w:rPr>
            <w:noProof/>
            <w:webHidden/>
          </w:rPr>
          <w:tab/>
        </w:r>
        <w:r w:rsidR="004F0DE9">
          <w:rPr>
            <w:noProof/>
            <w:webHidden/>
          </w:rPr>
          <w:fldChar w:fldCharType="begin"/>
        </w:r>
        <w:r w:rsidR="004F0DE9">
          <w:rPr>
            <w:noProof/>
            <w:webHidden/>
          </w:rPr>
          <w:instrText xml:space="preserve"> PAGEREF _Toc84408414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773A4CE2" w14:textId="1B8A19FA" w:rsidR="004F0DE9" w:rsidRDefault="00B62B74">
      <w:pPr>
        <w:pStyle w:val="TOC2"/>
        <w:tabs>
          <w:tab w:val="right" w:leader="dot" w:pos="9350"/>
        </w:tabs>
        <w:rPr>
          <w:rFonts w:asciiTheme="minorHAnsi" w:eastAsiaTheme="minorEastAsia" w:hAnsiTheme="minorHAnsi" w:cstheme="minorBidi"/>
          <w:noProof/>
        </w:rPr>
      </w:pPr>
      <w:hyperlink w:anchor="_Toc84408415" w:history="1">
        <w:r w:rsidR="004F0DE9" w:rsidRPr="00290C74">
          <w:rPr>
            <w:rStyle w:val="Hyperlink"/>
            <w:noProof/>
          </w:rPr>
          <w:t>III.1. There is a need for a paradigm shift in thinking information systems for health</w:t>
        </w:r>
        <w:r w:rsidR="004F0DE9">
          <w:rPr>
            <w:noProof/>
            <w:webHidden/>
          </w:rPr>
          <w:tab/>
        </w:r>
        <w:r w:rsidR="004F0DE9">
          <w:rPr>
            <w:noProof/>
            <w:webHidden/>
          </w:rPr>
          <w:fldChar w:fldCharType="begin"/>
        </w:r>
        <w:r w:rsidR="004F0DE9">
          <w:rPr>
            <w:noProof/>
            <w:webHidden/>
          </w:rPr>
          <w:instrText xml:space="preserve"> PAGEREF _Toc84408415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12A48386" w14:textId="2A58EDCF" w:rsidR="004F0DE9" w:rsidRDefault="00B62B74">
      <w:pPr>
        <w:pStyle w:val="TOC2"/>
        <w:tabs>
          <w:tab w:val="right" w:leader="dot" w:pos="9350"/>
        </w:tabs>
        <w:rPr>
          <w:rFonts w:asciiTheme="minorHAnsi" w:eastAsiaTheme="minorEastAsia" w:hAnsiTheme="minorHAnsi" w:cstheme="minorBidi"/>
          <w:noProof/>
        </w:rPr>
      </w:pPr>
      <w:hyperlink w:anchor="_Toc84408416" w:history="1">
        <w:r w:rsidR="004F0DE9" w:rsidRPr="00290C74">
          <w:rPr>
            <w:rStyle w:val="Hyperlink"/>
            <w:noProof/>
          </w:rPr>
          <w:t>III.2 Redefining the goal and role of the information system for health</w:t>
        </w:r>
        <w:r w:rsidR="004F0DE9">
          <w:rPr>
            <w:noProof/>
            <w:webHidden/>
          </w:rPr>
          <w:tab/>
        </w:r>
        <w:r w:rsidR="004F0DE9">
          <w:rPr>
            <w:noProof/>
            <w:webHidden/>
          </w:rPr>
          <w:fldChar w:fldCharType="begin"/>
        </w:r>
        <w:r w:rsidR="004F0DE9">
          <w:rPr>
            <w:noProof/>
            <w:webHidden/>
          </w:rPr>
          <w:instrText xml:space="preserve"> PAGEREF _Toc84408416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4C566440" w14:textId="32CA3882" w:rsidR="004F0DE9" w:rsidRDefault="00B62B74">
      <w:pPr>
        <w:pStyle w:val="TOC2"/>
        <w:tabs>
          <w:tab w:val="right" w:leader="dot" w:pos="9350"/>
        </w:tabs>
        <w:rPr>
          <w:rFonts w:asciiTheme="minorHAnsi" w:eastAsiaTheme="minorEastAsia" w:hAnsiTheme="minorHAnsi" w:cstheme="minorBidi"/>
          <w:noProof/>
        </w:rPr>
      </w:pPr>
      <w:hyperlink w:anchor="_Toc84408417" w:history="1">
        <w:r w:rsidR="004F0DE9" w:rsidRPr="00290C74">
          <w:rPr>
            <w:rStyle w:val="Hyperlink"/>
            <w:noProof/>
          </w:rPr>
          <w:t>III.3. The need for guiding principles to build fair information systems for health</w:t>
        </w:r>
        <w:r w:rsidR="004F0DE9">
          <w:rPr>
            <w:noProof/>
            <w:webHidden/>
          </w:rPr>
          <w:tab/>
        </w:r>
        <w:r w:rsidR="004F0DE9">
          <w:rPr>
            <w:noProof/>
            <w:webHidden/>
          </w:rPr>
          <w:fldChar w:fldCharType="begin"/>
        </w:r>
        <w:r w:rsidR="004F0DE9">
          <w:rPr>
            <w:noProof/>
            <w:webHidden/>
          </w:rPr>
          <w:instrText xml:space="preserve"> PAGEREF _Toc84408417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2950CA69" w14:textId="37AC89C9" w:rsidR="004F0DE9" w:rsidRDefault="00B62B74">
      <w:pPr>
        <w:pStyle w:val="TOC2"/>
        <w:tabs>
          <w:tab w:val="right" w:leader="dot" w:pos="9350"/>
        </w:tabs>
        <w:rPr>
          <w:rFonts w:asciiTheme="minorHAnsi" w:eastAsiaTheme="minorEastAsia" w:hAnsiTheme="minorHAnsi" w:cstheme="minorBidi"/>
          <w:noProof/>
        </w:rPr>
      </w:pPr>
      <w:hyperlink w:anchor="_Toc84408418" w:history="1">
        <w:r w:rsidR="004F0DE9" w:rsidRPr="00290C74">
          <w:rPr>
            <w:rStyle w:val="Hyperlink"/>
            <w:noProof/>
          </w:rPr>
          <w:t>III.4. Building the needed national and program level measures is the first step on the road</w:t>
        </w:r>
        <w:r w:rsidR="004F0DE9">
          <w:rPr>
            <w:noProof/>
            <w:webHidden/>
          </w:rPr>
          <w:tab/>
        </w:r>
        <w:r w:rsidR="004F0DE9">
          <w:rPr>
            <w:noProof/>
            <w:webHidden/>
          </w:rPr>
          <w:fldChar w:fldCharType="begin"/>
        </w:r>
        <w:r w:rsidR="004F0DE9">
          <w:rPr>
            <w:noProof/>
            <w:webHidden/>
          </w:rPr>
          <w:instrText xml:space="preserve"> PAGEREF _Toc84408418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1B71EBD9" w14:textId="2A02896A" w:rsidR="004F0DE9" w:rsidRDefault="00B62B74">
      <w:pPr>
        <w:pStyle w:val="TOC1"/>
        <w:rPr>
          <w:rFonts w:asciiTheme="minorHAnsi" w:eastAsiaTheme="minorEastAsia" w:hAnsiTheme="minorHAnsi" w:cstheme="minorBidi"/>
          <w:noProof/>
        </w:rPr>
      </w:pPr>
      <w:hyperlink w:anchor="_Toc84408419" w:history="1">
        <w:r w:rsidR="004F0DE9" w:rsidRPr="00290C74">
          <w:rPr>
            <w:rStyle w:val="Hyperlink"/>
            <w:noProof/>
          </w:rPr>
          <w:t>References</w:t>
        </w:r>
        <w:r w:rsidR="004F0DE9">
          <w:rPr>
            <w:noProof/>
            <w:webHidden/>
          </w:rPr>
          <w:tab/>
        </w:r>
        <w:r w:rsidR="004F0DE9">
          <w:rPr>
            <w:noProof/>
            <w:webHidden/>
          </w:rPr>
          <w:tab/>
        </w:r>
        <w:r w:rsidR="004F0DE9">
          <w:rPr>
            <w:noProof/>
            <w:webHidden/>
          </w:rPr>
          <w:fldChar w:fldCharType="begin"/>
        </w:r>
        <w:r w:rsidR="004F0DE9">
          <w:rPr>
            <w:noProof/>
            <w:webHidden/>
          </w:rPr>
          <w:instrText xml:space="preserve"> PAGEREF _Toc84408419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7C71A52B" w14:textId="46EBEF2A" w:rsidR="004F0DE9" w:rsidRDefault="00B62B74">
      <w:pPr>
        <w:pStyle w:val="TOC1"/>
        <w:rPr>
          <w:rFonts w:asciiTheme="minorHAnsi" w:eastAsiaTheme="minorEastAsia" w:hAnsiTheme="minorHAnsi" w:cstheme="minorBidi"/>
          <w:noProof/>
        </w:rPr>
      </w:pPr>
      <w:hyperlink w:anchor="_Toc84408420" w:history="1">
        <w:r w:rsidR="004F0DE9" w:rsidRPr="00290C74">
          <w:rPr>
            <w:rStyle w:val="Hyperlink"/>
            <w:noProof/>
          </w:rPr>
          <w:t>Annexes</w:t>
        </w:r>
        <w:r w:rsidR="004F0DE9">
          <w:rPr>
            <w:noProof/>
            <w:webHidden/>
          </w:rPr>
          <w:tab/>
        </w:r>
        <w:r w:rsidR="004F0DE9">
          <w:rPr>
            <w:noProof/>
            <w:webHidden/>
          </w:rPr>
          <w:tab/>
        </w:r>
        <w:r w:rsidR="004F0DE9">
          <w:rPr>
            <w:noProof/>
            <w:webHidden/>
          </w:rPr>
          <w:fldChar w:fldCharType="begin"/>
        </w:r>
        <w:r w:rsidR="004F0DE9">
          <w:rPr>
            <w:noProof/>
            <w:webHidden/>
          </w:rPr>
          <w:instrText xml:space="preserve"> PAGEREF _Toc84408420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2EDA4B72" w14:textId="7840283C" w:rsidR="004F0DE9" w:rsidRDefault="00B62B74">
      <w:pPr>
        <w:pStyle w:val="TOC2"/>
        <w:tabs>
          <w:tab w:val="right" w:leader="dot" w:pos="9350"/>
        </w:tabs>
        <w:rPr>
          <w:rFonts w:asciiTheme="minorHAnsi" w:eastAsiaTheme="minorEastAsia" w:hAnsiTheme="minorHAnsi" w:cstheme="minorBidi"/>
          <w:noProof/>
        </w:rPr>
      </w:pPr>
      <w:hyperlink w:anchor="_Toc84408421" w:history="1">
        <w:r w:rsidR="004F0DE9" w:rsidRPr="00290C74">
          <w:rPr>
            <w:rStyle w:val="Hyperlink"/>
            <w:noProof/>
          </w:rPr>
          <w:t>Annex A: Methodology</w:t>
        </w:r>
        <w:r w:rsidR="004F0DE9">
          <w:rPr>
            <w:noProof/>
            <w:webHidden/>
          </w:rPr>
          <w:tab/>
        </w:r>
        <w:r w:rsidR="004F0DE9">
          <w:rPr>
            <w:noProof/>
            <w:webHidden/>
          </w:rPr>
          <w:fldChar w:fldCharType="begin"/>
        </w:r>
        <w:r w:rsidR="004F0DE9">
          <w:rPr>
            <w:noProof/>
            <w:webHidden/>
          </w:rPr>
          <w:instrText xml:space="preserve"> PAGEREF _Toc84408421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078D32C1" w14:textId="531BDCF9" w:rsidR="004F0DE9" w:rsidRDefault="00B62B74">
      <w:pPr>
        <w:pStyle w:val="TOC2"/>
        <w:tabs>
          <w:tab w:val="right" w:leader="dot" w:pos="9350"/>
        </w:tabs>
        <w:rPr>
          <w:rFonts w:asciiTheme="minorHAnsi" w:eastAsiaTheme="minorEastAsia" w:hAnsiTheme="minorHAnsi" w:cstheme="minorBidi"/>
          <w:noProof/>
        </w:rPr>
      </w:pPr>
      <w:hyperlink w:anchor="_Toc84408422" w:history="1">
        <w:r w:rsidR="004F0DE9" w:rsidRPr="00290C74">
          <w:rPr>
            <w:rStyle w:val="Hyperlink"/>
            <w:noProof/>
          </w:rPr>
          <w:t>Annex B: Data Sources</w:t>
        </w:r>
        <w:r w:rsidR="004F0DE9">
          <w:rPr>
            <w:noProof/>
            <w:webHidden/>
          </w:rPr>
          <w:tab/>
        </w:r>
        <w:r w:rsidR="004F0DE9">
          <w:rPr>
            <w:noProof/>
            <w:webHidden/>
          </w:rPr>
          <w:fldChar w:fldCharType="begin"/>
        </w:r>
        <w:r w:rsidR="004F0DE9">
          <w:rPr>
            <w:noProof/>
            <w:webHidden/>
          </w:rPr>
          <w:instrText xml:space="preserve"> PAGEREF _Toc84408422 \h </w:instrText>
        </w:r>
        <w:r w:rsidR="004F0DE9">
          <w:rPr>
            <w:noProof/>
            <w:webHidden/>
          </w:rPr>
        </w:r>
        <w:r w:rsidR="004F0DE9">
          <w:rPr>
            <w:noProof/>
            <w:webHidden/>
          </w:rPr>
          <w:fldChar w:fldCharType="separate"/>
        </w:r>
        <w:r w:rsidR="001142AE">
          <w:rPr>
            <w:noProof/>
            <w:webHidden/>
          </w:rPr>
          <w:t>2</w:t>
        </w:r>
        <w:r w:rsidR="004F0DE9">
          <w:rPr>
            <w:noProof/>
            <w:webHidden/>
          </w:rPr>
          <w:fldChar w:fldCharType="end"/>
        </w:r>
      </w:hyperlink>
    </w:p>
    <w:p w14:paraId="0690DBBA" w14:textId="6CB6C818" w:rsidR="00D55302" w:rsidRPr="00D55302" w:rsidRDefault="004F0DE9" w:rsidP="004F0DE9">
      <w:pPr>
        <w:sectPr w:rsidR="00D55302" w:rsidRPr="00D55302">
          <w:footerReference w:type="default" r:id="rId13"/>
          <w:pgSz w:w="12240" w:h="15840"/>
          <w:pgMar w:top="1440" w:right="1440" w:bottom="1440" w:left="1440" w:header="720" w:footer="720" w:gutter="0"/>
          <w:cols w:space="720"/>
          <w:docGrid w:linePitch="360"/>
        </w:sectPr>
      </w:pPr>
      <w:r>
        <w:fldChar w:fldCharType="end"/>
      </w:r>
    </w:p>
    <w:p w14:paraId="01CCAF3F" w14:textId="4743C8FB" w:rsidR="00470206" w:rsidRDefault="00470206" w:rsidP="00470206">
      <w:pPr>
        <w:pStyle w:val="Heading1"/>
      </w:pPr>
      <w:bookmarkStart w:id="0" w:name="_Toc83819376"/>
      <w:bookmarkStart w:id="1" w:name="_Toc84408400"/>
      <w:bookmarkStart w:id="2" w:name="_Toc72945479"/>
      <w:bookmarkStart w:id="3" w:name="_Toc72949595"/>
      <w:bookmarkStart w:id="4" w:name="_Toc72950091"/>
      <w:bookmarkStart w:id="5" w:name="_Toc72999748"/>
      <w:bookmarkStart w:id="6" w:name="_Toc81138419"/>
      <w:bookmarkStart w:id="7" w:name="_Toc83818764"/>
      <w:r>
        <w:lastRenderedPageBreak/>
        <w:t>List of Acronyms</w:t>
      </w:r>
      <w:bookmarkEnd w:id="0"/>
      <w:bookmarkEnd w:id="1"/>
      <w:r>
        <w:t xml:space="preserve"> </w:t>
      </w:r>
      <w:bookmarkEnd w:id="2"/>
      <w:bookmarkEnd w:id="3"/>
      <w:bookmarkEnd w:id="4"/>
      <w:bookmarkEnd w:id="5"/>
      <w:bookmarkEnd w:id="6"/>
      <w:bookmarkEnd w:id="7"/>
    </w:p>
    <w:p w14:paraId="171BDD03" w14:textId="7A5F2BBB" w:rsidR="00014D07" w:rsidRDefault="00014D07" w:rsidP="00470206">
      <w:bookmarkStart w:id="8" w:name="_Toc69739847"/>
      <w:r>
        <w:t>AUB:</w:t>
      </w:r>
      <w:r>
        <w:tab/>
      </w:r>
      <w:r w:rsidR="0061139E">
        <w:tab/>
      </w:r>
      <w:r>
        <w:t>American University of Beirut</w:t>
      </w:r>
    </w:p>
    <w:p w14:paraId="7B84E97D" w14:textId="301D94F4" w:rsidR="00470206" w:rsidRDefault="00014D07" w:rsidP="00470206">
      <w:r>
        <w:t>AUC:</w:t>
      </w:r>
      <w:r>
        <w:tab/>
      </w:r>
      <w:r w:rsidR="0061139E">
        <w:tab/>
      </w:r>
      <w:r>
        <w:t>American University in Cairo</w:t>
      </w:r>
    </w:p>
    <w:p w14:paraId="09B56DC8" w14:textId="79E81D65" w:rsidR="00FE554D" w:rsidRDefault="00FE554D" w:rsidP="00470206">
      <w:r>
        <w:t>CSDH:</w:t>
      </w:r>
      <w:r>
        <w:tab/>
      </w:r>
      <w:r w:rsidR="0061139E">
        <w:tab/>
      </w:r>
      <w:r>
        <w:t>Commission on Social determinants of Health</w:t>
      </w:r>
    </w:p>
    <w:p w14:paraId="4AC9D2C9" w14:textId="1BFBCF77" w:rsidR="0026367A" w:rsidRDefault="0026367A" w:rsidP="00470206">
      <w:r>
        <w:t>DHS:</w:t>
      </w:r>
      <w:r>
        <w:tab/>
      </w:r>
      <w:r>
        <w:tab/>
        <w:t>Demographic and Health Survey</w:t>
      </w:r>
    </w:p>
    <w:p w14:paraId="2652CD8B" w14:textId="195A8FC6" w:rsidR="0026367A" w:rsidRDefault="0026367A" w:rsidP="002636A0">
      <w:r>
        <w:t>DHIS2:</w:t>
      </w:r>
      <w:r>
        <w:tab/>
      </w:r>
      <w:r>
        <w:tab/>
      </w:r>
      <w:r w:rsidR="002636A0">
        <w:t xml:space="preserve">District Health Information System Version 2 </w:t>
      </w:r>
    </w:p>
    <w:p w14:paraId="717233FC" w14:textId="265CA244" w:rsidR="006A39D2" w:rsidRDefault="006A39D2" w:rsidP="00470206">
      <w:r>
        <w:t>EMR:</w:t>
      </w:r>
      <w:r>
        <w:tab/>
      </w:r>
      <w:r w:rsidR="0061139E">
        <w:tab/>
      </w:r>
      <w:r>
        <w:t>Eastern Mediterranean Region</w:t>
      </w:r>
    </w:p>
    <w:p w14:paraId="05546994" w14:textId="51385D46" w:rsidR="0061139E" w:rsidRDefault="0061139E" w:rsidP="0061139E">
      <w:r>
        <w:t>EMRO:</w:t>
      </w:r>
      <w:r>
        <w:tab/>
        <w:t>Eastern Mediterranean Region Office</w:t>
      </w:r>
    </w:p>
    <w:p w14:paraId="1E185E05" w14:textId="3E476A90" w:rsidR="00BB3076" w:rsidRDefault="00BB3076" w:rsidP="00BB3076">
      <w:r>
        <w:t>FGC/M:</w:t>
      </w:r>
      <w:r>
        <w:tab/>
        <w:t xml:space="preserve">Female Genital Cutting/Mutilation </w:t>
      </w:r>
    </w:p>
    <w:p w14:paraId="023FE1C3" w14:textId="7D220B4C" w:rsidR="00BB3076" w:rsidRDefault="00014D07" w:rsidP="00BB3076">
      <w:r>
        <w:t>FHS:</w:t>
      </w:r>
      <w:r>
        <w:tab/>
      </w:r>
      <w:r w:rsidR="0061139E">
        <w:tab/>
      </w:r>
      <w:r>
        <w:t>Faculty of Health Sciences</w:t>
      </w:r>
    </w:p>
    <w:p w14:paraId="7DC71361" w14:textId="2C48DC80" w:rsidR="0026367A" w:rsidRDefault="0026367A" w:rsidP="00470206">
      <w:proofErr w:type="spellStart"/>
      <w:r>
        <w:t>GHDx</w:t>
      </w:r>
      <w:proofErr w:type="spellEnd"/>
      <w:r>
        <w:t>:</w:t>
      </w:r>
      <w:r>
        <w:tab/>
      </w:r>
      <w:r>
        <w:tab/>
        <w:t>Global Health Data Exchange</w:t>
      </w:r>
    </w:p>
    <w:p w14:paraId="3C8E6D45" w14:textId="2BEEA89B" w:rsidR="00983140" w:rsidRDefault="00983140" w:rsidP="00470206">
      <w:proofErr w:type="spellStart"/>
      <w:r>
        <w:t>HiAP</w:t>
      </w:r>
      <w:proofErr w:type="spellEnd"/>
      <w:r>
        <w:t>:</w:t>
      </w:r>
      <w:r>
        <w:tab/>
      </w:r>
      <w:r w:rsidR="0061139E">
        <w:tab/>
      </w:r>
      <w:r>
        <w:t>Health in All Policies</w:t>
      </w:r>
    </w:p>
    <w:p w14:paraId="357EF23E" w14:textId="4EDF0322" w:rsidR="0026367A" w:rsidRDefault="0026367A" w:rsidP="0026367A">
      <w:r>
        <w:t>HCV:</w:t>
      </w:r>
      <w:r>
        <w:tab/>
      </w:r>
      <w:r>
        <w:tab/>
        <w:t>Hepatitis C Virus</w:t>
      </w:r>
    </w:p>
    <w:p w14:paraId="5703B65C" w14:textId="3288645C" w:rsidR="0026367A" w:rsidRDefault="0026367A" w:rsidP="0026367A">
      <w:r>
        <w:t>HIS:</w:t>
      </w:r>
      <w:r>
        <w:tab/>
      </w:r>
      <w:r>
        <w:tab/>
        <w:t>Health Information System</w:t>
      </w:r>
    </w:p>
    <w:p w14:paraId="48FC791A" w14:textId="6409620F" w:rsidR="00014D07" w:rsidRDefault="00014D07" w:rsidP="00470206">
      <w:r>
        <w:t>HSS:</w:t>
      </w:r>
      <w:r>
        <w:tab/>
      </w:r>
      <w:r w:rsidR="0061139E">
        <w:tab/>
      </w:r>
      <w:r>
        <w:t>Health Systems Strengthening</w:t>
      </w:r>
    </w:p>
    <w:p w14:paraId="284D7FAE" w14:textId="0F589D95" w:rsidR="00606D42" w:rsidRDefault="00606D42" w:rsidP="00470206">
      <w:r>
        <w:t>ICD:</w:t>
      </w:r>
      <w:r>
        <w:tab/>
      </w:r>
      <w:r>
        <w:tab/>
        <w:t>International Classification of Diseases</w:t>
      </w:r>
    </w:p>
    <w:p w14:paraId="4882F807" w14:textId="1ADE13C1" w:rsidR="00606D42" w:rsidRDefault="00606D42" w:rsidP="00470206">
      <w:r>
        <w:t>ICPD:</w:t>
      </w:r>
      <w:r>
        <w:tab/>
      </w:r>
      <w:r>
        <w:tab/>
        <w:t xml:space="preserve">International Conference for Population </w:t>
      </w:r>
      <w:r w:rsidR="00CB4522">
        <w:t>D</w:t>
      </w:r>
      <w:r>
        <w:t>evelopment</w:t>
      </w:r>
    </w:p>
    <w:p w14:paraId="54A88D55" w14:textId="567D9EFB" w:rsidR="00CB4522" w:rsidRDefault="00CB4522" w:rsidP="00CB4522">
      <w:r>
        <w:t xml:space="preserve">ICPD </w:t>
      </w:r>
      <w:proofErr w:type="spellStart"/>
      <w:r>
        <w:t>PoA</w:t>
      </w:r>
      <w:proofErr w:type="spellEnd"/>
      <w:r>
        <w:t>:</w:t>
      </w:r>
      <w:r>
        <w:tab/>
        <w:t xml:space="preserve">International Conference for Population Development </w:t>
      </w:r>
      <w:proofErr w:type="spellStart"/>
      <w:r>
        <w:t>Programme</w:t>
      </w:r>
      <w:proofErr w:type="spellEnd"/>
      <w:r>
        <w:t xml:space="preserve"> of action</w:t>
      </w:r>
    </w:p>
    <w:p w14:paraId="2F85B58D" w14:textId="55A2256F" w:rsidR="00014D07" w:rsidRDefault="00014D07" w:rsidP="00470206">
      <w:r>
        <w:t>IDRC:</w:t>
      </w:r>
      <w:r>
        <w:tab/>
      </w:r>
      <w:r w:rsidR="0061139E">
        <w:tab/>
      </w:r>
      <w:r>
        <w:t>I</w:t>
      </w:r>
      <w:r w:rsidRPr="006D77ED">
        <w:t>nternational Development Research Centre</w:t>
      </w:r>
    </w:p>
    <w:p w14:paraId="22876FC4" w14:textId="27AA75D8" w:rsidR="00014D07" w:rsidRDefault="00014D07" w:rsidP="00470206">
      <w:r>
        <w:t>ISH:</w:t>
      </w:r>
      <w:r>
        <w:tab/>
      </w:r>
      <w:r w:rsidR="0061139E">
        <w:tab/>
      </w:r>
      <w:r>
        <w:t>Information System for Health</w:t>
      </w:r>
    </w:p>
    <w:p w14:paraId="076123C1" w14:textId="3104FA0A" w:rsidR="00B776A3" w:rsidRDefault="00B776A3" w:rsidP="00B776A3">
      <w:r>
        <w:t>MENA:</w:t>
      </w:r>
      <w:r>
        <w:tab/>
      </w:r>
      <w:r w:rsidR="0061139E">
        <w:tab/>
      </w:r>
      <w:r>
        <w:t>Middle East and North Africa</w:t>
      </w:r>
    </w:p>
    <w:p w14:paraId="24ADA130" w14:textId="0E03A27C" w:rsidR="008979E7" w:rsidRDefault="008979E7" w:rsidP="00470206">
      <w:r>
        <w:t>MDGs:</w:t>
      </w:r>
      <w:r>
        <w:tab/>
      </w:r>
      <w:r w:rsidR="0061139E">
        <w:tab/>
      </w:r>
      <w:r>
        <w:t>Millennium Development Goals</w:t>
      </w:r>
    </w:p>
    <w:p w14:paraId="32A2F8FC" w14:textId="5BA219C5" w:rsidR="003870F7" w:rsidRDefault="003870F7" w:rsidP="00470206">
      <w:r>
        <w:t>MICS:</w:t>
      </w:r>
      <w:r>
        <w:tab/>
      </w:r>
      <w:r>
        <w:tab/>
        <w:t>Multiple Indicators Cluster Survey</w:t>
      </w:r>
    </w:p>
    <w:p w14:paraId="093CB582" w14:textId="72369299" w:rsidR="00B324D0" w:rsidRDefault="00B324D0" w:rsidP="00470206">
      <w:r>
        <w:t>NCDs:</w:t>
      </w:r>
      <w:r>
        <w:tab/>
      </w:r>
      <w:r>
        <w:tab/>
        <w:t>Non-Communicable Diseases</w:t>
      </w:r>
    </w:p>
    <w:p w14:paraId="3739FD9C" w14:textId="3C716BD6" w:rsidR="002636A0" w:rsidRDefault="002636A0" w:rsidP="002636A0">
      <w:proofErr w:type="spellStart"/>
      <w:r>
        <w:t>OpenMRS</w:t>
      </w:r>
      <w:proofErr w:type="spellEnd"/>
      <w:r>
        <w:t>:</w:t>
      </w:r>
      <w:r>
        <w:tab/>
        <w:t>Open Medical Record System</w:t>
      </w:r>
    </w:p>
    <w:p w14:paraId="2D5A1972" w14:textId="424A4B5D" w:rsidR="0026367A" w:rsidRDefault="0026367A" w:rsidP="00470206">
      <w:r>
        <w:t>RMNCH:</w:t>
      </w:r>
      <w:r>
        <w:tab/>
        <w:t>Reproductive, Maternal, Newborn and Child Health</w:t>
      </w:r>
    </w:p>
    <w:p w14:paraId="6C2D0F11" w14:textId="06776493" w:rsidR="000847B6" w:rsidRDefault="000847B6" w:rsidP="00470206">
      <w:r>
        <w:t>SDGs:</w:t>
      </w:r>
      <w:r>
        <w:tab/>
      </w:r>
      <w:r w:rsidR="0061139E">
        <w:tab/>
      </w:r>
      <w:r>
        <w:t>Sustainable Development Goals</w:t>
      </w:r>
    </w:p>
    <w:p w14:paraId="72365AA9" w14:textId="01314734" w:rsidR="00FE554D" w:rsidRDefault="00FE554D" w:rsidP="00470206">
      <w:r>
        <w:t>SDH:</w:t>
      </w:r>
      <w:r w:rsidR="0061139E">
        <w:tab/>
      </w:r>
      <w:r w:rsidR="0061139E">
        <w:tab/>
      </w:r>
      <w:r>
        <w:t xml:space="preserve">Social </w:t>
      </w:r>
      <w:r w:rsidR="002360F1">
        <w:t>D</w:t>
      </w:r>
      <w:r>
        <w:t>eterminants of Health</w:t>
      </w:r>
    </w:p>
    <w:p w14:paraId="494ACB38" w14:textId="5A85544E" w:rsidR="00014D07" w:rsidRDefault="00014D07" w:rsidP="00470206">
      <w:r>
        <w:t>SRC:</w:t>
      </w:r>
      <w:r>
        <w:tab/>
      </w:r>
      <w:r w:rsidR="0061139E">
        <w:tab/>
      </w:r>
      <w:r>
        <w:t>Social Research Center</w:t>
      </w:r>
    </w:p>
    <w:p w14:paraId="12EF66F7" w14:textId="6ADB02B4" w:rsidR="00B776A3" w:rsidRDefault="00B776A3" w:rsidP="00470206">
      <w:r>
        <w:t>SRH:</w:t>
      </w:r>
      <w:r>
        <w:tab/>
      </w:r>
      <w:r w:rsidR="0061139E">
        <w:tab/>
      </w:r>
      <w:r>
        <w:t>Sexual and Reproductive Health</w:t>
      </w:r>
    </w:p>
    <w:p w14:paraId="6F039565" w14:textId="6078B16D" w:rsidR="0026367A" w:rsidRDefault="0026367A" w:rsidP="0026367A">
      <w:r>
        <w:t>SRHR:</w:t>
      </w:r>
      <w:r>
        <w:tab/>
      </w:r>
      <w:r>
        <w:tab/>
        <w:t>Sexual and Reproductive Health Rights</w:t>
      </w:r>
    </w:p>
    <w:p w14:paraId="043F3195" w14:textId="477E65BD" w:rsidR="0026367A" w:rsidRDefault="0026367A" w:rsidP="00470206">
      <w:r>
        <w:t>TB:</w:t>
      </w:r>
      <w:r>
        <w:tab/>
      </w:r>
      <w:r>
        <w:tab/>
        <w:t>Tuberculosis</w:t>
      </w:r>
    </w:p>
    <w:p w14:paraId="7405BEB6" w14:textId="27370172" w:rsidR="0026367A" w:rsidRDefault="0026367A" w:rsidP="00470206">
      <w:r>
        <w:t>UN:</w:t>
      </w:r>
      <w:r>
        <w:tab/>
      </w:r>
      <w:r>
        <w:tab/>
        <w:t>United Nations</w:t>
      </w:r>
    </w:p>
    <w:p w14:paraId="1AE1DA69" w14:textId="73F26F13" w:rsidR="00470206" w:rsidRPr="0005043D" w:rsidRDefault="006A39D2" w:rsidP="0005043D">
      <w:r>
        <w:t>WHO:</w:t>
      </w:r>
      <w:r w:rsidR="000847B6">
        <w:tab/>
      </w:r>
      <w:r w:rsidR="002636A0">
        <w:tab/>
      </w:r>
      <w:r>
        <w:t>World Health Organization</w:t>
      </w:r>
      <w:r w:rsidR="00470206">
        <w:br w:type="page"/>
      </w:r>
    </w:p>
    <w:p w14:paraId="5880EA44" w14:textId="014F0676" w:rsidR="00D961BE" w:rsidRDefault="0070542C" w:rsidP="00D961BE">
      <w:pPr>
        <w:pStyle w:val="Heading1"/>
      </w:pPr>
      <w:bookmarkStart w:id="9" w:name="_Toc72945480"/>
      <w:bookmarkStart w:id="10" w:name="_Toc72949596"/>
      <w:bookmarkStart w:id="11" w:name="_Toc72950092"/>
      <w:bookmarkStart w:id="12" w:name="_Toc72999749"/>
      <w:bookmarkStart w:id="13" w:name="_Toc81138420"/>
      <w:bookmarkStart w:id="14" w:name="_Toc83818765"/>
      <w:bookmarkStart w:id="15" w:name="_Toc83819377"/>
      <w:bookmarkStart w:id="16" w:name="_Toc84408401"/>
      <w:r>
        <w:lastRenderedPageBreak/>
        <w:t xml:space="preserve">Executive </w:t>
      </w:r>
      <w:r w:rsidR="00D961BE" w:rsidRPr="00D961BE">
        <w:t>Summary</w:t>
      </w:r>
      <w:bookmarkEnd w:id="8"/>
      <w:bookmarkEnd w:id="9"/>
      <w:bookmarkEnd w:id="10"/>
      <w:bookmarkEnd w:id="11"/>
      <w:bookmarkEnd w:id="12"/>
      <w:bookmarkEnd w:id="13"/>
      <w:bookmarkEnd w:id="14"/>
      <w:bookmarkEnd w:id="15"/>
      <w:bookmarkEnd w:id="16"/>
    </w:p>
    <w:p w14:paraId="09836F6B" w14:textId="3EF070C7" w:rsidR="0070542C" w:rsidRDefault="0070542C" w:rsidP="0070542C">
      <w:r>
        <w:t xml:space="preserve">In 2020, the Faculty of Health Sciences in The American University of Beirut and the Social Research Center of the American University in Cairo </w:t>
      </w:r>
      <w:r w:rsidR="00E62285">
        <w:t>with support of the I</w:t>
      </w:r>
      <w:r w:rsidR="00E62285" w:rsidRPr="006D77ED">
        <w:t>nternational Development Research Centre</w:t>
      </w:r>
      <w:r w:rsidR="00E62285">
        <w:t xml:space="preserve"> (IDRC) of Canada, </w:t>
      </w:r>
      <w:r>
        <w:t>ha</w:t>
      </w:r>
      <w:r w:rsidR="001F5F82">
        <w:t>ve</w:t>
      </w:r>
      <w:r>
        <w:t xml:space="preserve"> been working on an ambitious project </w:t>
      </w:r>
      <w:r w:rsidR="00CA3289">
        <w:t xml:space="preserve">to </w:t>
      </w:r>
      <w:r w:rsidR="00CA3289">
        <w:rPr>
          <w:sz w:val="23"/>
          <w:szCs w:val="23"/>
        </w:rPr>
        <w:t xml:space="preserve">strengthening the whole of government commitment in Arab countries to address health inequities, as well as inform integrated social policies and effective program level implementation. The project specifically aims at strengthening the information base to produce comprehensive evidence base capable of informing policies and interventions. </w:t>
      </w:r>
      <w:r>
        <w:t>The</w:t>
      </w:r>
      <w:r w:rsidRPr="00957399">
        <w:t xml:space="preserve"> </w:t>
      </w:r>
      <w:r>
        <w:t xml:space="preserve">work realizes the complexity of such information system and the numerous necessary components. This background document presents the results of the first phase. </w:t>
      </w:r>
      <w:r w:rsidR="00CA3289">
        <w:t>The document</w:t>
      </w:r>
      <w:r>
        <w:t xml:space="preserve"> aims at giving </w:t>
      </w:r>
      <w:r w:rsidRPr="00B73977">
        <w:t xml:space="preserve">visibility to </w:t>
      </w:r>
      <w:r>
        <w:t xml:space="preserve">the need for a fair information system capable of capturing the </w:t>
      </w:r>
      <w:r w:rsidRPr="00B73977">
        <w:t xml:space="preserve">social inequalities in health </w:t>
      </w:r>
      <w:r>
        <w:t>to</w:t>
      </w:r>
      <w:r w:rsidRPr="00B73977">
        <w:t xml:space="preserve"> support informed public demand for just alternatives, monitoring and accountability</w:t>
      </w:r>
      <w:r>
        <w:t>. The document</w:t>
      </w:r>
      <w:r w:rsidR="004959CC">
        <w:t>, as explained below,</w:t>
      </w:r>
      <w:r>
        <w:t xml:space="preserve"> sets the scene for </w:t>
      </w:r>
      <w:r w:rsidRPr="007C2CB7">
        <w:t xml:space="preserve">a </w:t>
      </w:r>
      <w:r>
        <w:t>paradigm shift in thinking health and information for health, it discusses the gaps and challenges in the databases and paves the ground for the coming two phases.</w:t>
      </w:r>
    </w:p>
    <w:p w14:paraId="1256200F" w14:textId="77777777" w:rsidR="0070542C" w:rsidRDefault="0070542C" w:rsidP="0070542C"/>
    <w:p w14:paraId="0D189E2B" w14:textId="77777777" w:rsidR="0070542C" w:rsidRPr="00B9323A" w:rsidRDefault="0070542C" w:rsidP="0070542C">
      <w:pPr>
        <w:rPr>
          <w:b/>
          <w:bCs/>
          <w:color w:val="2F5496" w:themeColor="accent5" w:themeShade="BF"/>
        </w:rPr>
      </w:pPr>
      <w:r w:rsidRPr="00B9323A">
        <w:rPr>
          <w:b/>
          <w:bCs/>
          <w:color w:val="2F5496" w:themeColor="accent5" w:themeShade="BF"/>
        </w:rPr>
        <w:t xml:space="preserve">The value of health as a right deeply rooted in the structural social determinants is well established </w:t>
      </w:r>
    </w:p>
    <w:p w14:paraId="04788C60" w14:textId="5354E6E0" w:rsidR="0070542C" w:rsidRPr="00214F88" w:rsidRDefault="0070542C" w:rsidP="00214F88">
      <w:pPr>
        <w:rPr>
          <w:rFonts w:asciiTheme="minorBidi" w:eastAsia="Times New Roman" w:hAnsiTheme="minorBidi" w:cstheme="minorBidi"/>
          <w:color w:val="000000" w:themeColor="text1"/>
        </w:rPr>
      </w:pPr>
      <w:r>
        <w:t>H</w:t>
      </w:r>
      <w:r w:rsidRPr="0006069F">
        <w:t>ealth</w:t>
      </w:r>
      <w:r>
        <w:t xml:space="preserve"> has always been valued</w:t>
      </w:r>
      <w:r w:rsidRPr="0006069F">
        <w:t xml:space="preserve"> </w:t>
      </w:r>
      <w:r>
        <w:t>a</w:t>
      </w:r>
      <w:r w:rsidRPr="0006069F">
        <w:t>s a right for everyone</w:t>
      </w:r>
      <w:r>
        <w:t xml:space="preserve"> and a social goal</w:t>
      </w:r>
      <w:bookmarkStart w:id="17" w:name="_Hlk83809516"/>
      <w:r>
        <w:t xml:space="preserve">. </w:t>
      </w:r>
      <w:bookmarkStart w:id="18" w:name="_Hlk83809430"/>
      <w:bookmarkEnd w:id="17"/>
      <w:r>
        <w:t>This has been</w:t>
      </w:r>
      <w:r w:rsidRPr="000B1121">
        <w:t xml:space="preserve"> engrained in the </w:t>
      </w:r>
      <w:r>
        <w:t>heritages</w:t>
      </w:r>
      <w:r w:rsidRPr="000B1121">
        <w:t xml:space="preserve"> of science and knowledge since ancient times. </w:t>
      </w:r>
      <w:bookmarkEnd w:id="18"/>
      <w:r>
        <w:t xml:space="preserve">Since the early 1940s, the value of health was clearly articulated in </w:t>
      </w:r>
      <w:r w:rsidRPr="005F6252">
        <w:t>the WHO constitution</w:t>
      </w:r>
      <w:r>
        <w:t xml:space="preserve"> and</w:t>
      </w:r>
      <w:r w:rsidRPr="005F6252">
        <w:t xml:space="preserve"> definition of health</w:t>
      </w:r>
      <w:r>
        <w:t xml:space="preserve">, as well as the </w:t>
      </w:r>
      <w:r w:rsidRPr="00960D4C">
        <w:t xml:space="preserve">Universal </w:t>
      </w:r>
      <w:r w:rsidRPr="00303480">
        <w:t>Declaration of Human Rights. The Alma-Ata declaration, in 1978, and human development concepts</w:t>
      </w:r>
      <w:r w:rsidR="004959CC">
        <w:t>, thereafter,</w:t>
      </w:r>
      <w:r w:rsidRPr="00303480">
        <w:t xml:space="preserve"> have stressed on a holistic vision for health and well-being.  Since then, numerous global, </w:t>
      </w:r>
      <w:proofErr w:type="gramStart"/>
      <w:r w:rsidRPr="00303480">
        <w:t>regional</w:t>
      </w:r>
      <w:proofErr w:type="gramEnd"/>
      <w:r w:rsidRPr="00303480">
        <w:t xml:space="preserve"> and national landmarks acknowledged the social determinants of health as root causes of ill health and health inequities. The </w:t>
      </w:r>
      <w:r w:rsidR="001F5F82">
        <w:t>M</w:t>
      </w:r>
      <w:r w:rsidRPr="00303480">
        <w:t xml:space="preserve">illennium </w:t>
      </w:r>
      <w:r w:rsidR="001F5F82">
        <w:t>D</w:t>
      </w:r>
      <w:r w:rsidRPr="00303480">
        <w:t xml:space="preserve">evelopment </w:t>
      </w:r>
      <w:r w:rsidR="001F5F82">
        <w:t>Goals (MDGs)</w:t>
      </w:r>
      <w:r w:rsidRPr="00303480">
        <w:t xml:space="preserve"> in 2000 and the Commission of Social Determinants of Health </w:t>
      </w:r>
      <w:r w:rsidR="001F5F82">
        <w:t xml:space="preserve">(CSDH) Report in 2005 </w:t>
      </w:r>
      <w:r w:rsidRPr="00303480">
        <w:t>came as commitment to help the nations achieve better</w:t>
      </w:r>
      <w:r>
        <w:t xml:space="preserve"> health and well-being. The lessons learned from monitoring the </w:t>
      </w:r>
      <w:r w:rsidR="001F5F82">
        <w:t>MDG</w:t>
      </w:r>
      <w:r w:rsidR="004959CC">
        <w:t>s</w:t>
      </w:r>
      <w:r>
        <w:t xml:space="preserve"> and the parallel work of the </w:t>
      </w:r>
      <w:r w:rsidR="001F5F82">
        <w:t>CSDH</w:t>
      </w:r>
      <w:r>
        <w:t xml:space="preserve"> showed that all countries have mutual problems calling for global partnerships to address the root causes of social injustice and promote health equity.</w:t>
      </w:r>
      <w:r>
        <w:rPr>
          <w:lang w:val="en-AU"/>
        </w:rPr>
        <w:t xml:space="preserve"> It was clear that the world </w:t>
      </w:r>
      <w:proofErr w:type="gramStart"/>
      <w:r>
        <w:rPr>
          <w:lang w:val="en-AU"/>
        </w:rPr>
        <w:t>has</w:t>
      </w:r>
      <w:r w:rsidRPr="009100FD">
        <w:rPr>
          <w:lang w:val="en-AU"/>
        </w:rPr>
        <w:t xml:space="preserve"> the opportun</w:t>
      </w:r>
      <w:r>
        <w:rPr>
          <w:lang w:val="en-AU"/>
        </w:rPr>
        <w:t>ity to</w:t>
      </w:r>
      <w:proofErr w:type="gramEnd"/>
      <w:r>
        <w:rPr>
          <w:lang w:val="en-AU"/>
        </w:rPr>
        <w:t xml:space="preserve"> build on the success of</w:t>
      </w:r>
      <w:r w:rsidRPr="009100FD">
        <w:rPr>
          <w:lang w:val="en-AU"/>
        </w:rPr>
        <w:t xml:space="preserve"> the MD</w:t>
      </w:r>
      <w:r>
        <w:rPr>
          <w:lang w:val="en-AU"/>
        </w:rPr>
        <w:t>Gs</w:t>
      </w:r>
      <w:r w:rsidRPr="009100FD">
        <w:rPr>
          <w:lang w:val="en-AU"/>
        </w:rPr>
        <w:t xml:space="preserve"> and look for better future “</w:t>
      </w:r>
      <w:r w:rsidRPr="00603799">
        <w:rPr>
          <w:b/>
          <w:bCs/>
          <w:i/>
          <w:iCs/>
          <w:lang w:val="en-AU"/>
        </w:rPr>
        <w:t>The Future We Want</w:t>
      </w:r>
      <w:r w:rsidRPr="009100FD">
        <w:rPr>
          <w:lang w:val="en-AU"/>
        </w:rPr>
        <w:t>”</w:t>
      </w:r>
      <w:r>
        <w:rPr>
          <w:lang w:val="en-AU"/>
        </w:rPr>
        <w:t xml:space="preserve"> in Sustainable Development </w:t>
      </w:r>
      <w:r w:rsidR="001F5F82">
        <w:rPr>
          <w:lang w:val="en-AU"/>
        </w:rPr>
        <w:t>Goals (SDGs)</w:t>
      </w:r>
      <w:r>
        <w:rPr>
          <w:lang w:val="en-AU"/>
        </w:rPr>
        <w:t xml:space="preserve">. </w:t>
      </w:r>
      <w:r>
        <w:t xml:space="preserve">The 2030 Agenda constitutes an important policy framework that can further action on the SDH and promote greater health equity on a global scale. The need for </w:t>
      </w:r>
      <w:r>
        <w:lastRenderedPageBreak/>
        <w:t>integrated policy framework and action was further illustrated in 2020 with the COVID-19 crises. The</w:t>
      </w:r>
      <w:r w:rsidR="004959CC">
        <w:t xml:space="preserve"> COVID-19</w:t>
      </w:r>
      <w:r>
        <w:t xml:space="preserve"> pandemic came as a unique illustrative global model for this paradigm shift in thinking health and well-being. </w:t>
      </w:r>
      <w:r w:rsidRPr="002A1D8F">
        <w:rPr>
          <w:color w:val="000000" w:themeColor="text1"/>
        </w:rPr>
        <w:t>The most recent report</w:t>
      </w:r>
      <w:r w:rsidR="004959CC">
        <w:rPr>
          <w:color w:val="000000" w:themeColor="text1"/>
        </w:rPr>
        <w:t>s</w:t>
      </w:r>
      <w:r w:rsidRPr="002A1D8F">
        <w:rPr>
          <w:color w:val="000000" w:themeColor="text1"/>
        </w:rPr>
        <w:t xml:space="preserve"> of </w:t>
      </w:r>
      <w:r w:rsidR="001F5F82">
        <w:rPr>
          <w:color w:val="000000" w:themeColor="text1"/>
        </w:rPr>
        <w:t>CSDH for the Eastern Mediterranean Region (CSDH-EMR)</w:t>
      </w:r>
      <w:r w:rsidRPr="0006069F">
        <w:t xml:space="preserve"> </w:t>
      </w:r>
      <w:r w:rsidRPr="002A1D8F">
        <w:rPr>
          <w:color w:val="000000" w:themeColor="text1"/>
        </w:rPr>
        <w:t>in March 2021</w:t>
      </w:r>
      <w:r>
        <w:rPr>
          <w:rFonts w:eastAsia="Times New Roman"/>
          <w:color w:val="000000" w:themeColor="text1"/>
        </w:rPr>
        <w:t xml:space="preserve"> </w:t>
      </w:r>
      <w:r w:rsidR="004959CC">
        <w:rPr>
          <w:rFonts w:eastAsia="Times New Roman"/>
          <w:color w:val="000000" w:themeColor="text1"/>
        </w:rPr>
        <w:t xml:space="preserve">and </w:t>
      </w:r>
      <w:r w:rsidR="004959CC" w:rsidRPr="004959CC">
        <w:rPr>
          <w:rFonts w:eastAsia="Times New Roman"/>
          <w:color w:val="000000" w:themeColor="text1"/>
        </w:rPr>
        <w:t>the Rockefeller Foundation and Boston University School of Public Commission on Health Determinants, Data and Decision-Making (3-D Commission)</w:t>
      </w:r>
      <w:r w:rsidR="00214F88">
        <w:rPr>
          <w:rFonts w:eastAsia="Times New Roman"/>
          <w:color w:val="000000" w:themeColor="text1"/>
        </w:rPr>
        <w:t xml:space="preserve"> in September 2021 </w:t>
      </w:r>
      <w:r w:rsidR="00214F88" w:rsidRPr="00720B8F">
        <w:rPr>
          <w:rFonts w:asciiTheme="minorBidi" w:eastAsia="Times New Roman" w:hAnsiTheme="minorBidi" w:cstheme="minorBidi"/>
          <w:color w:val="000000" w:themeColor="text1"/>
        </w:rPr>
        <w:t xml:space="preserve">urge countries to take action to address the SDH to reverse the worsening trend of </w:t>
      </w:r>
      <w:r w:rsidR="00214F88">
        <w:rPr>
          <w:rFonts w:asciiTheme="minorBidi" w:eastAsia="Times New Roman" w:hAnsiTheme="minorBidi" w:cstheme="minorBidi"/>
          <w:color w:val="000000" w:themeColor="text1"/>
        </w:rPr>
        <w:t xml:space="preserve">social injustice and health </w:t>
      </w:r>
      <w:r w:rsidR="00214F88" w:rsidRPr="00720B8F">
        <w:rPr>
          <w:rFonts w:asciiTheme="minorBidi" w:eastAsia="Times New Roman" w:hAnsiTheme="minorBidi" w:cstheme="minorBidi"/>
          <w:color w:val="000000" w:themeColor="text1"/>
        </w:rPr>
        <w:t>inequity.</w:t>
      </w:r>
    </w:p>
    <w:p w14:paraId="1FADED8F" w14:textId="77777777" w:rsidR="0070542C" w:rsidRDefault="0070542C" w:rsidP="0070542C"/>
    <w:p w14:paraId="6E7F40A4" w14:textId="559DDA37" w:rsidR="0070542C" w:rsidRPr="00B9323A" w:rsidRDefault="0070542C" w:rsidP="0070542C">
      <w:pPr>
        <w:rPr>
          <w:b/>
          <w:bCs/>
          <w:color w:val="2F5496" w:themeColor="accent5" w:themeShade="BF"/>
        </w:rPr>
      </w:pPr>
      <w:bookmarkStart w:id="19" w:name="_Hlk83809618"/>
      <w:r w:rsidRPr="00B9323A">
        <w:rPr>
          <w:b/>
          <w:bCs/>
          <w:color w:val="2F5496" w:themeColor="accent5" w:themeShade="BF"/>
        </w:rPr>
        <w:t xml:space="preserve">Health policies and interventions are hardly sufficient to improve the health of the socially disadvantaged </w:t>
      </w:r>
      <w:bookmarkEnd w:id="19"/>
    </w:p>
    <w:p w14:paraId="22DFCE8A" w14:textId="4006626A" w:rsidR="0070542C" w:rsidRPr="00F81BED" w:rsidRDefault="0070542C" w:rsidP="0070542C">
      <w:pPr>
        <w:rPr>
          <w:sz w:val="23"/>
          <w:szCs w:val="23"/>
        </w:rPr>
      </w:pPr>
      <w:r>
        <w:t xml:space="preserve">The </w:t>
      </w:r>
      <w:r w:rsidR="004959CC">
        <w:t xml:space="preserve">health </w:t>
      </w:r>
      <w:r>
        <w:t xml:space="preserve">policies and actions are still applying a biomedical model with the health sector as a sole player. </w:t>
      </w:r>
      <w:r w:rsidRPr="00CE3775">
        <w:rPr>
          <w:sz w:val="23"/>
          <w:szCs w:val="23"/>
        </w:rPr>
        <w:t xml:space="preserve">At policy level, </w:t>
      </w:r>
      <w:r>
        <w:rPr>
          <w:sz w:val="23"/>
          <w:szCs w:val="23"/>
        </w:rPr>
        <w:t>Ministries of Health</w:t>
      </w:r>
      <w:r w:rsidRPr="00CE3775">
        <w:rPr>
          <w:sz w:val="23"/>
          <w:szCs w:val="23"/>
        </w:rPr>
        <w:t xml:space="preserve">, as well as the government as a whole and the public, </w:t>
      </w:r>
      <w:r>
        <w:rPr>
          <w:sz w:val="23"/>
          <w:szCs w:val="23"/>
        </w:rPr>
        <w:t xml:space="preserve">still </w:t>
      </w:r>
      <w:r w:rsidRPr="00CE3775">
        <w:rPr>
          <w:sz w:val="23"/>
          <w:szCs w:val="23"/>
        </w:rPr>
        <w:t xml:space="preserve">do not position health equity as a measure of social success and as a sign of inclusive and fair society adhering to human rights principles. At program level, health initiatives adopt simplistic conceptualization of the social determinants, reinforcing the monopoly of health sector and undermining the contribution of intersectoral collaborations. The policy level challenge is </w:t>
      </w:r>
      <w:r>
        <w:rPr>
          <w:sz w:val="23"/>
          <w:szCs w:val="23"/>
        </w:rPr>
        <w:t>supported by</w:t>
      </w:r>
      <w:r w:rsidRPr="00CE3775">
        <w:rPr>
          <w:sz w:val="23"/>
          <w:szCs w:val="23"/>
        </w:rPr>
        <w:t xml:space="preserve"> the fact that the existing data do not make visible the inequitable distribution of health conditions and do not adequately link the inequalities of health threats and the unfair social arrangements. </w:t>
      </w:r>
    </w:p>
    <w:p w14:paraId="7F033A74" w14:textId="77777777" w:rsidR="0070542C" w:rsidRDefault="0070542C" w:rsidP="0070542C"/>
    <w:p w14:paraId="39E6686E" w14:textId="1CD91783" w:rsidR="0070542C" w:rsidRPr="00B9323A" w:rsidRDefault="0070542C" w:rsidP="0070542C">
      <w:pPr>
        <w:rPr>
          <w:b/>
          <w:bCs/>
          <w:color w:val="2F5496" w:themeColor="accent5" w:themeShade="BF"/>
        </w:rPr>
      </w:pPr>
      <w:r w:rsidRPr="00B9323A">
        <w:rPr>
          <w:b/>
          <w:bCs/>
          <w:color w:val="2F5496" w:themeColor="accent5" w:themeShade="BF"/>
        </w:rPr>
        <w:t xml:space="preserve">Three is a global need for </w:t>
      </w:r>
      <w:r w:rsidR="008F144B" w:rsidRPr="00B9323A">
        <w:rPr>
          <w:b/>
          <w:bCs/>
          <w:color w:val="2F5496" w:themeColor="accent5" w:themeShade="BF"/>
        </w:rPr>
        <w:t xml:space="preserve">fair, </w:t>
      </w:r>
      <w:r w:rsidR="003C671C" w:rsidRPr="00B9323A">
        <w:rPr>
          <w:b/>
          <w:bCs/>
          <w:color w:val="2F5496" w:themeColor="accent5" w:themeShade="BF"/>
        </w:rPr>
        <w:t>comprehensive,</w:t>
      </w:r>
      <w:r w:rsidRPr="00B9323A">
        <w:rPr>
          <w:b/>
          <w:bCs/>
          <w:color w:val="2F5496" w:themeColor="accent5" w:themeShade="BF"/>
        </w:rPr>
        <w:t xml:space="preserve"> and quality data for fair policies and actions </w:t>
      </w:r>
    </w:p>
    <w:p w14:paraId="57411A34" w14:textId="7D6FAC39" w:rsidR="0070542C" w:rsidRDefault="0070542C" w:rsidP="005F63C1">
      <w:r>
        <w:t>There is now a clear consensus that the absence of reliable data on key health issues and related SDH compromises the efforts to improve health and promote health equity. T</w:t>
      </w:r>
      <w:r w:rsidRPr="00224106">
        <w:t xml:space="preserve">he </w:t>
      </w:r>
      <w:r>
        <w:t xml:space="preserve">need for interdependent policies and actions for achieving the SDGs and Universal Health Coverage (UHC) has initiated a global movement to improve the availability and quality of data. The </w:t>
      </w:r>
      <w:r w:rsidRPr="00224106">
        <w:t>SDGs</w:t>
      </w:r>
      <w:r>
        <w:t xml:space="preserve"> </w:t>
      </w:r>
      <w:r w:rsidRPr="00224106">
        <w:t>ha</w:t>
      </w:r>
      <w:r w:rsidR="002C1F98">
        <w:t>ve</w:t>
      </w:r>
      <w:r w:rsidRPr="00224106">
        <w:t xml:space="preserve"> </w:t>
      </w:r>
      <w:r>
        <w:t>stressed on the importance of information and changed the perspective of using few indicators into producing comprehensive evidence using the full list of SDGs</w:t>
      </w:r>
      <w:r w:rsidR="004959CC">
        <w:t xml:space="preserve"> indicators</w:t>
      </w:r>
      <w:r>
        <w:t xml:space="preserve"> as national measures. </w:t>
      </w:r>
      <w:r w:rsidR="005F63C1">
        <w:t xml:space="preserve">The reports of the CSDH-EMR and the 3-D </w:t>
      </w:r>
      <w:r w:rsidR="005F63C1" w:rsidRPr="0007492A">
        <w:t xml:space="preserve">Commission urged countries to use </w:t>
      </w:r>
      <w:r w:rsidR="0007492A" w:rsidRPr="0007492A">
        <w:t xml:space="preserve">data </w:t>
      </w:r>
      <w:r w:rsidR="005F63C1" w:rsidRPr="0007492A">
        <w:t xml:space="preserve">on the social determinants </w:t>
      </w:r>
      <w:r w:rsidR="0007492A" w:rsidRPr="0007492A">
        <w:t>to inform policies and actions</w:t>
      </w:r>
      <w:r w:rsidR="005F63C1" w:rsidRPr="0007492A">
        <w:t xml:space="preserve">. </w:t>
      </w:r>
      <w:r w:rsidRPr="0007492A">
        <w:t>This evidence can be only reached through building an integrated information system cover</w:t>
      </w:r>
      <w:r w:rsidR="00CB2021" w:rsidRPr="0007492A">
        <w:t>ing</w:t>
      </w:r>
      <w:r w:rsidRPr="0007492A">
        <w:t xml:space="preserve"> the</w:t>
      </w:r>
      <w:r>
        <w:t xml:space="preserve"> full range of factors responsible for generating ill-health.</w:t>
      </w:r>
      <w:r w:rsidRPr="00395300">
        <w:t xml:space="preserve"> </w:t>
      </w:r>
      <w:r>
        <w:t>This thinking approach clearly illustrates the gap in the current health information system</w:t>
      </w:r>
      <w:r w:rsidR="003C671C">
        <w:t>s’ goal and role which still follow a narrow health policy focus. It is evident that</w:t>
      </w:r>
      <w:r w:rsidR="008F144B">
        <w:t xml:space="preserve"> “</w:t>
      </w:r>
      <w:r w:rsidR="008F144B" w:rsidRPr="008F144B">
        <w:rPr>
          <w:b/>
          <w:bCs/>
        </w:rPr>
        <w:t>fair solutions cannot be reached without fair evidence</w:t>
      </w:r>
      <w:r w:rsidR="008F144B">
        <w:t>”</w:t>
      </w:r>
    </w:p>
    <w:p w14:paraId="77971959" w14:textId="77777777" w:rsidR="0070542C" w:rsidRDefault="0070542C" w:rsidP="0070542C"/>
    <w:p w14:paraId="7AB47113" w14:textId="77777777" w:rsidR="0070542C" w:rsidRPr="00B9323A" w:rsidRDefault="0070542C" w:rsidP="0070542C">
      <w:pPr>
        <w:rPr>
          <w:b/>
          <w:bCs/>
          <w:color w:val="2F5496" w:themeColor="accent5" w:themeShade="BF"/>
        </w:rPr>
      </w:pPr>
      <w:r w:rsidRPr="00B9323A">
        <w:rPr>
          <w:b/>
          <w:bCs/>
          <w:color w:val="2F5496" w:themeColor="accent5" w:themeShade="BF"/>
        </w:rPr>
        <w:lastRenderedPageBreak/>
        <w:t>Gaps in the global health information systems</w:t>
      </w:r>
    </w:p>
    <w:p w14:paraId="7762EEF1" w14:textId="0D4EED6A" w:rsidR="0070542C" w:rsidRDefault="0070542C" w:rsidP="0070542C">
      <w:r>
        <w:t>The commonly adopted frameworks for monitoring and evaluation of the health system follow a simplistic health program narrow activities and outcomes. Though numerous international databases are available and present a wealth of data on many health-related aspects</w:t>
      </w:r>
      <w:r w:rsidR="00CB2021">
        <w:t xml:space="preserve">, </w:t>
      </w:r>
      <w:r>
        <w:t xml:space="preserve">they do not follow a standard classification, many data are not available notably </w:t>
      </w:r>
      <w:r w:rsidR="00612EB3">
        <w:t xml:space="preserve">for </w:t>
      </w:r>
      <w:r>
        <w:t xml:space="preserve">Arab countries, and inconsistencies between the different databases for similar indicators may exist. </w:t>
      </w:r>
      <w:r w:rsidR="00CB2021">
        <w:t>Most importantly</w:t>
      </w:r>
      <w:r>
        <w:t xml:space="preserve">, the international databases do not capture the equity framing. </w:t>
      </w:r>
      <w:r w:rsidRPr="00265354">
        <w:rPr>
          <w:b/>
          <w:bCs/>
        </w:rPr>
        <w:t>Thus, from the available international databases, it is hard to capture the inequalities in health</w:t>
      </w:r>
      <w:r w:rsidR="00CB2021">
        <w:rPr>
          <w:b/>
          <w:bCs/>
        </w:rPr>
        <w:t>,</w:t>
      </w:r>
      <w:r w:rsidRPr="00265354">
        <w:rPr>
          <w:b/>
          <w:bCs/>
        </w:rPr>
        <w:t xml:space="preserve"> identify the vulnerable populations </w:t>
      </w:r>
      <w:r w:rsidR="00CB2021">
        <w:rPr>
          <w:b/>
          <w:bCs/>
        </w:rPr>
        <w:t>or</w:t>
      </w:r>
      <w:r w:rsidRPr="00265354">
        <w:rPr>
          <w:b/>
          <w:bCs/>
        </w:rPr>
        <w:t xml:space="preserve"> draw information on the </w:t>
      </w:r>
      <w:r w:rsidR="00CB2021">
        <w:rPr>
          <w:b/>
          <w:bCs/>
        </w:rPr>
        <w:t>root structural</w:t>
      </w:r>
      <w:r w:rsidRPr="00265354">
        <w:rPr>
          <w:b/>
          <w:bCs/>
        </w:rPr>
        <w:t xml:space="preserve"> determinants. </w:t>
      </w:r>
    </w:p>
    <w:p w14:paraId="29759C4C" w14:textId="77777777" w:rsidR="0070542C" w:rsidRDefault="0070542C" w:rsidP="0070542C"/>
    <w:p w14:paraId="1FF9D61F" w14:textId="77777777" w:rsidR="0070542C" w:rsidRPr="00B9323A" w:rsidRDefault="0070542C" w:rsidP="0070542C">
      <w:pPr>
        <w:rPr>
          <w:b/>
          <w:bCs/>
          <w:color w:val="2F5496" w:themeColor="accent5" w:themeShade="BF"/>
        </w:rPr>
      </w:pPr>
      <w:r w:rsidRPr="00B9323A">
        <w:rPr>
          <w:b/>
          <w:bCs/>
          <w:color w:val="2F5496" w:themeColor="accent5" w:themeShade="BF"/>
        </w:rPr>
        <w:t>Gaps in the national health information systems in the Arab region</w:t>
      </w:r>
    </w:p>
    <w:p w14:paraId="4E9813D1" w14:textId="367314A9" w:rsidR="0070542C" w:rsidRPr="00AD2466" w:rsidRDefault="0070542C" w:rsidP="0070542C">
      <w:r>
        <w:t xml:space="preserve">The role of the HIS in many countries of the Arab region is not always appreciated by the various stakeholders. The national budget to run such a system is hardly a competitor amidst the many health threats and economic challenges. The system mostly evolves in a piece meal fashion and in response to the need for the rapid availability of data for a specific disease or a specific program. The responsibility for health data is often divided among different national ministries or institutions and coordination between them may be difficult due to financial and administrative constraints. The sharing of databases in many </w:t>
      </w:r>
      <w:r w:rsidR="00612EB3">
        <w:t xml:space="preserve">Arab </w:t>
      </w:r>
      <w:r>
        <w:t>countries is not legally bounded. This ends in multiple and poorly linked subsystems that cannot deliver timely, accurate and complete</w:t>
      </w:r>
      <w:r w:rsidR="00D33147">
        <w:t xml:space="preserve"> information</w:t>
      </w:r>
      <w:r>
        <w:t xml:space="preserve">. </w:t>
      </w:r>
      <w:r w:rsidRPr="00612EB3">
        <w:rPr>
          <w:b/>
          <w:bCs/>
        </w:rPr>
        <w:t xml:space="preserve">Most importantly, national and program levels health information systems do not allow for monitoring health inequalities and the social determinants of health </w:t>
      </w:r>
      <w:r w:rsidR="00612EB3" w:rsidRPr="00612EB3">
        <w:rPr>
          <w:b/>
          <w:bCs/>
        </w:rPr>
        <w:t>framing,</w:t>
      </w:r>
      <w:r w:rsidRPr="00612EB3">
        <w:rPr>
          <w:b/>
          <w:bCs/>
        </w:rPr>
        <w:t xml:space="preserve"> and the equity lens are still missed</w:t>
      </w:r>
    </w:p>
    <w:p w14:paraId="3B3D0760" w14:textId="77777777" w:rsidR="0070542C" w:rsidRDefault="0070542C" w:rsidP="0070542C"/>
    <w:p w14:paraId="2F50CE89" w14:textId="77777777" w:rsidR="0070542C" w:rsidRPr="00B9323A" w:rsidRDefault="0070542C" w:rsidP="0070542C">
      <w:pPr>
        <w:rPr>
          <w:b/>
          <w:bCs/>
          <w:color w:val="2F5496" w:themeColor="accent5" w:themeShade="BF"/>
        </w:rPr>
      </w:pPr>
      <w:r w:rsidRPr="00B9323A">
        <w:rPr>
          <w:b/>
          <w:bCs/>
          <w:color w:val="2F5496" w:themeColor="accent5" w:themeShade="BF"/>
        </w:rPr>
        <w:t>The challenges in proposing an equity sensitive information system for health</w:t>
      </w:r>
    </w:p>
    <w:p w14:paraId="4A101D62" w14:textId="7221B9CE" w:rsidR="0070542C" w:rsidRDefault="0070542C" w:rsidP="0070542C">
      <w:r>
        <w:t xml:space="preserve">The major challenge facing the health information system resides in measuring ill-health, computing health inequalities and moving the discourse from inequality to inequity. Measuring health conditions/diseases is conceptually and technically complex, requiring public health, medical and statistical </w:t>
      </w:r>
      <w:proofErr w:type="gramStart"/>
      <w:r>
        <w:t>knowledge</w:t>
      </w:r>
      <w:proofErr w:type="gramEnd"/>
      <w:r>
        <w:t xml:space="preserve"> and expertise unique to each disease or program area. Accurate measurement of diseases relies on standard case definition which depends upon the availability of clinical diagnoses and disease-specific investigations. Measuring inequalities in health is complex because it requires a method that encompasses linking observed inequalities to the unfairness of their underlying causes. The chief pillars of this method include identifying the context specific social dimensions that render people underprivileged, quantifying the unanticipated health inequalities across the population subgroups, as well as linking the unequal </w:t>
      </w:r>
      <w:r>
        <w:lastRenderedPageBreak/>
        <w:t xml:space="preserve">health outcomes to the inequalities in the multilevel structural and intermediate social determinants. These basic requirements are a shared global challenge as the HIS are still struggling towards applying an SDH approach and health equity lens. </w:t>
      </w:r>
      <w:r w:rsidRPr="00D637AE">
        <w:rPr>
          <w:b/>
          <w:bCs/>
        </w:rPr>
        <w:t xml:space="preserve">Till present, there is no consensus on </w:t>
      </w:r>
      <w:r w:rsidR="00D637AE" w:rsidRPr="00D637AE">
        <w:rPr>
          <w:b/>
          <w:bCs/>
        </w:rPr>
        <w:t xml:space="preserve">the list of indicators, the </w:t>
      </w:r>
      <w:r w:rsidRPr="00D637AE">
        <w:rPr>
          <w:b/>
          <w:bCs/>
        </w:rPr>
        <w:t xml:space="preserve">social </w:t>
      </w:r>
      <w:proofErr w:type="spellStart"/>
      <w:r w:rsidRPr="00D637AE">
        <w:rPr>
          <w:b/>
          <w:bCs/>
        </w:rPr>
        <w:t>stratifier</w:t>
      </w:r>
      <w:proofErr w:type="spellEnd"/>
      <w:r w:rsidRPr="00D637AE">
        <w:rPr>
          <w:b/>
          <w:bCs/>
        </w:rPr>
        <w:t>(s) and inequality measure that can alert countries to health inequalit</w:t>
      </w:r>
      <w:r w:rsidR="000D241B" w:rsidRPr="00D637AE">
        <w:rPr>
          <w:b/>
          <w:bCs/>
        </w:rPr>
        <w:t>y</w:t>
      </w:r>
      <w:r w:rsidRPr="00D637AE">
        <w:rPr>
          <w:b/>
          <w:bCs/>
        </w:rPr>
        <w:t xml:space="preserve"> and guide further policies and actions</w:t>
      </w:r>
      <w:r>
        <w:t xml:space="preserve">. </w:t>
      </w:r>
    </w:p>
    <w:p w14:paraId="67441A9B" w14:textId="77777777" w:rsidR="0070542C" w:rsidRPr="001C3812" w:rsidRDefault="0070542C" w:rsidP="0070542C"/>
    <w:p w14:paraId="3ABD9CA0" w14:textId="77777777" w:rsidR="0070542C" w:rsidRPr="00B9323A" w:rsidRDefault="0070542C" w:rsidP="0070542C">
      <w:pPr>
        <w:rPr>
          <w:b/>
          <w:bCs/>
          <w:color w:val="2F5496" w:themeColor="accent5" w:themeShade="BF"/>
        </w:rPr>
      </w:pPr>
      <w:r w:rsidRPr="00B9323A">
        <w:rPr>
          <w:b/>
          <w:bCs/>
          <w:color w:val="2F5496" w:themeColor="accent5" w:themeShade="BF"/>
        </w:rPr>
        <w:t>Rethinking information systems for health and wellbeing</w:t>
      </w:r>
    </w:p>
    <w:p w14:paraId="172E8AAE" w14:textId="42D764B8" w:rsidR="0070542C" w:rsidRDefault="0070542C" w:rsidP="0070542C">
      <w:r>
        <w:t>There is a need for a paradigm shift in thinking information systems for health. The current HIS</w:t>
      </w:r>
      <w:r w:rsidR="006E7FE8">
        <w:t xml:space="preserve"> is designed</w:t>
      </w:r>
      <w:r>
        <w:t xml:space="preserve"> to serve the needs of the health sector with a disease and behavior orientation. They remain silent when it comes to provide evidence on social determinants and their interlinkages to health inequalities. All partners are aware of the major data challenges, they all claim the unavailability of data and the inability to measure inequalities, identify the vulnerable populations or to show the interlinkages between the multilevel social determinants and health.</w:t>
      </w:r>
    </w:p>
    <w:p w14:paraId="6F8B05E8" w14:textId="77777777" w:rsidR="0070542C" w:rsidRDefault="0070542C" w:rsidP="0070542C"/>
    <w:p w14:paraId="436E872C" w14:textId="27EE8423" w:rsidR="0070542C" w:rsidRDefault="0070542C" w:rsidP="00F31969">
      <w:proofErr w:type="gramStart"/>
      <w:r>
        <w:t>It is clear that health</w:t>
      </w:r>
      <w:proofErr w:type="gramEnd"/>
      <w:r>
        <w:t xml:space="preserve"> in the new global era is no more the business of the health sector alone. It is a shared responsibility of the government and society. Such evidence cannot pertain anymore to HIS traditional goal </w:t>
      </w:r>
      <w:r w:rsidRPr="00E01626">
        <w:t>“the production of quality data that health system stakeholders can use for making transparent and evidence-based health system interventions”. To</w:t>
      </w:r>
      <w:r>
        <w:t xml:space="preserve"> move forward there is a need for </w:t>
      </w:r>
      <w:r w:rsidR="006F5681">
        <w:t>redefining</w:t>
      </w:r>
      <w:r>
        <w:t xml:space="preserve"> the goal </w:t>
      </w:r>
      <w:r w:rsidR="006F5681">
        <w:t xml:space="preserve">and role </w:t>
      </w:r>
      <w:r>
        <w:t>of the information system and moving the discourse from “health information system (HIS)” to “information system for health (ISH)” with a more comprehensive goal</w:t>
      </w:r>
      <w:r w:rsidR="00F31969">
        <w:t>,</w:t>
      </w:r>
      <w:r w:rsidR="00E01626">
        <w:t xml:space="preserve"> role</w:t>
      </w:r>
      <w:r w:rsidR="00F31969">
        <w:t xml:space="preserve"> and principles,</w:t>
      </w:r>
      <w:r w:rsidR="00E01626">
        <w:t xml:space="preserve"> </w:t>
      </w:r>
      <w:r>
        <w:t xml:space="preserve">as </w:t>
      </w:r>
      <w:r w:rsidR="00F31969">
        <w:t xml:space="preserve">proposed </w:t>
      </w:r>
      <w:r>
        <w:t>below</w:t>
      </w:r>
      <w:r w:rsidR="00F31969">
        <w:t>, to determine production and use of data for better health and well-being “Leaving No One Behind”:</w:t>
      </w:r>
    </w:p>
    <w:p w14:paraId="2CB23D4A" w14:textId="77777777" w:rsidR="00F31969" w:rsidRDefault="00F31969" w:rsidP="002929E5"/>
    <w:p w14:paraId="5E012EB5" w14:textId="3B07937F" w:rsidR="002929E5" w:rsidRDefault="004547AD" w:rsidP="002929E5">
      <w:r>
        <w:t xml:space="preserve">The time provides windows and opportunities to contribute to the ongoing discourse on building context specific ISH and be equipped with right data on health and its determinants. </w:t>
      </w:r>
      <w:r w:rsidR="002929E5">
        <w:t xml:space="preserve">A key initial step is to build a core basket of indicators and inequality measures on national and program levels to guide opportunities for fair policies and interventions. The idea is to build a common language for comparison among and within countries, as well as monitoring progress overtime. </w:t>
      </w:r>
    </w:p>
    <w:p w14:paraId="5D37A9D0" w14:textId="3B7A7B69" w:rsidR="00F31969" w:rsidRDefault="00F31969" w:rsidP="002929E5"/>
    <w:p w14:paraId="1641E5A5" w14:textId="044FF089" w:rsidR="00F31969" w:rsidRDefault="00F31969">
      <w:pPr>
        <w:spacing w:line="240" w:lineRule="auto"/>
      </w:pPr>
      <w:r>
        <w:br w:type="page"/>
      </w:r>
    </w:p>
    <w:p w14:paraId="09CB65A1" w14:textId="2720F5B7" w:rsidR="00F31969" w:rsidRDefault="00F31969" w:rsidP="008C494B">
      <w:pPr>
        <w:pStyle w:val="Heading1"/>
      </w:pPr>
      <w:bookmarkStart w:id="20" w:name="_Toc84408402"/>
      <w:r>
        <w:lastRenderedPageBreak/>
        <w:t xml:space="preserve">Summary of </w:t>
      </w:r>
      <w:r w:rsidR="008A02F0">
        <w:t>re</w:t>
      </w:r>
      <w:r>
        <w:t>thinking information system for health</w:t>
      </w:r>
      <w:bookmarkEnd w:id="20"/>
      <w:r>
        <w:t xml:space="preserve"> </w:t>
      </w:r>
    </w:p>
    <w:p w14:paraId="64712A82" w14:textId="1CA3B822" w:rsidR="005A6EC2" w:rsidRDefault="005A6EC2" w:rsidP="004168A9"/>
    <w:p w14:paraId="4FDBA33A" w14:textId="3811CEB9" w:rsidR="006A2CF4" w:rsidRDefault="006A2CF4" w:rsidP="004168A9"/>
    <w:p w14:paraId="1E346334" w14:textId="77777777" w:rsidR="006A2CF4" w:rsidRDefault="006A2CF4" w:rsidP="004168A9"/>
    <w:p w14:paraId="198B7606" w14:textId="509A2A84" w:rsidR="004168A9" w:rsidRDefault="006A2CF4" w:rsidP="006A2CF4">
      <w:pPr>
        <w:jc w:val="center"/>
      </w:pPr>
      <w:r w:rsidRPr="006A2CF4">
        <w:rPr>
          <w:noProof/>
        </w:rPr>
        <w:drawing>
          <wp:inline distT="0" distB="0" distL="0" distR="0" wp14:anchorId="455DDEC6" wp14:editId="608F989D">
            <wp:extent cx="5943600" cy="4722395"/>
            <wp:effectExtent l="0" t="0" r="0" b="2540"/>
            <wp:docPr id="12" name="Picture 4" descr="Graphical user interface, text&#10;&#10;Description automatically generated">
              <a:extLst xmlns:a="http://schemas.openxmlformats.org/drawingml/2006/main">
                <a:ext uri="{FF2B5EF4-FFF2-40B4-BE49-F238E27FC236}">
                  <a16:creationId xmlns:a16="http://schemas.microsoft.com/office/drawing/2014/main" id="{2C86748B-CD1D-483A-8793-B50DF3931D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Graphical user interface, text&#10;&#10;Description automatically generated">
                      <a:extLst>
                        <a:ext uri="{FF2B5EF4-FFF2-40B4-BE49-F238E27FC236}">
                          <a16:creationId xmlns:a16="http://schemas.microsoft.com/office/drawing/2014/main" id="{2C86748B-CD1D-483A-8793-B50DF3931DCF}"/>
                        </a:ext>
                      </a:extLst>
                    </pic:cNvPr>
                    <pic:cNvPicPr>
                      <a:picLocks noChangeAspect="1"/>
                    </pic:cNvPicPr>
                  </pic:nvPicPr>
                  <pic:blipFill>
                    <a:blip r:embed="rId14"/>
                    <a:stretch>
                      <a:fillRect/>
                    </a:stretch>
                  </pic:blipFill>
                  <pic:spPr>
                    <a:xfrm>
                      <a:off x="0" y="0"/>
                      <a:ext cx="5943600" cy="4722395"/>
                    </a:xfrm>
                    <a:prstGeom prst="rect">
                      <a:avLst/>
                    </a:prstGeom>
                  </pic:spPr>
                </pic:pic>
              </a:graphicData>
            </a:graphic>
          </wp:inline>
        </w:drawing>
      </w:r>
    </w:p>
    <w:p w14:paraId="04CE7E29" w14:textId="77777777" w:rsidR="004168A9" w:rsidRDefault="004168A9" w:rsidP="002B7950"/>
    <w:p w14:paraId="0CC2F67F" w14:textId="77777777" w:rsidR="004168A9" w:rsidRDefault="004168A9" w:rsidP="002B7950"/>
    <w:p w14:paraId="29B4127E" w14:textId="77777777" w:rsidR="004168A9" w:rsidRDefault="004168A9" w:rsidP="002B7950"/>
    <w:p w14:paraId="48E2CC2A" w14:textId="77777777" w:rsidR="004168A9" w:rsidRDefault="004168A9" w:rsidP="002B7950"/>
    <w:p w14:paraId="6AF006BA" w14:textId="7C36442F" w:rsidR="004168A9" w:rsidRDefault="004168A9" w:rsidP="002B7950">
      <w:pPr>
        <w:sectPr w:rsidR="004168A9" w:rsidSect="00116158">
          <w:footerReference w:type="default" r:id="rId15"/>
          <w:pgSz w:w="12240" w:h="15840"/>
          <w:pgMar w:top="1440" w:right="1440" w:bottom="1440" w:left="1440" w:header="720" w:footer="720" w:gutter="0"/>
          <w:pgNumType w:fmt="lowerRoman" w:start="1"/>
          <w:cols w:space="720"/>
          <w:docGrid w:linePitch="360"/>
        </w:sectPr>
      </w:pPr>
    </w:p>
    <w:p w14:paraId="658911BA" w14:textId="2DF35426" w:rsidR="00D961BE" w:rsidRDefault="00D961BE" w:rsidP="00D961BE">
      <w:pPr>
        <w:pStyle w:val="Heading1"/>
      </w:pPr>
      <w:bookmarkStart w:id="21" w:name="_Toc69739848"/>
      <w:bookmarkStart w:id="22" w:name="_Toc72945481"/>
      <w:bookmarkStart w:id="23" w:name="_Toc72949597"/>
      <w:bookmarkStart w:id="24" w:name="_Toc72950093"/>
      <w:bookmarkStart w:id="25" w:name="_Toc72999750"/>
      <w:bookmarkStart w:id="26" w:name="_Toc81138421"/>
      <w:bookmarkStart w:id="27" w:name="_Toc83818766"/>
      <w:bookmarkStart w:id="28" w:name="_Toc83819378"/>
      <w:bookmarkStart w:id="29" w:name="_Toc84408403"/>
      <w:r>
        <w:lastRenderedPageBreak/>
        <w:t>Introduction</w:t>
      </w:r>
      <w:bookmarkEnd w:id="21"/>
      <w:bookmarkEnd w:id="22"/>
      <w:bookmarkEnd w:id="23"/>
      <w:bookmarkEnd w:id="24"/>
      <w:bookmarkEnd w:id="25"/>
      <w:bookmarkEnd w:id="26"/>
      <w:bookmarkEnd w:id="27"/>
      <w:bookmarkEnd w:id="28"/>
      <w:bookmarkEnd w:id="29"/>
    </w:p>
    <w:p w14:paraId="5679E775" w14:textId="3FA5C9B7" w:rsidR="00CF6A7B" w:rsidRPr="00365F3C" w:rsidRDefault="00097228" w:rsidP="00DE70C7">
      <w:pPr>
        <w:rPr>
          <w:rFonts w:cs="Myriad Pro"/>
          <w:color w:val="000000"/>
        </w:rPr>
      </w:pPr>
      <w:r w:rsidRPr="00097228">
        <w:rPr>
          <w:rStyle w:val="A9"/>
        </w:rPr>
        <w:t xml:space="preserve">Over the past several decades, global awareness </w:t>
      </w:r>
      <w:r>
        <w:rPr>
          <w:rStyle w:val="A9"/>
        </w:rPr>
        <w:t xml:space="preserve">about health </w:t>
      </w:r>
      <w:r w:rsidR="00E047C0">
        <w:rPr>
          <w:rStyle w:val="A9"/>
        </w:rPr>
        <w:t>inequities</w:t>
      </w:r>
      <w:r w:rsidR="00233A02">
        <w:rPr>
          <w:rStyle w:val="A9"/>
        </w:rPr>
        <w:t xml:space="preserve"> has</w:t>
      </w:r>
      <w:r w:rsidRPr="00097228">
        <w:rPr>
          <w:rStyle w:val="A9"/>
        </w:rPr>
        <w:t xml:space="preserve"> increased,</w:t>
      </w:r>
      <w:r>
        <w:rPr>
          <w:rStyle w:val="A9"/>
        </w:rPr>
        <w:t xml:space="preserve"> along with</w:t>
      </w:r>
      <w:r w:rsidRPr="00097228">
        <w:rPr>
          <w:rStyle w:val="A9"/>
        </w:rPr>
        <w:t xml:space="preserve"> </w:t>
      </w:r>
      <w:r>
        <w:rPr>
          <w:rStyle w:val="A9"/>
        </w:rPr>
        <w:t>narrow evidence on their causes</w:t>
      </w:r>
      <w:r w:rsidR="00D73DF3">
        <w:rPr>
          <w:rStyle w:val="A9"/>
        </w:rPr>
        <w:t xml:space="preserve"> (</w:t>
      </w:r>
      <w:r w:rsidR="00D73DF3" w:rsidRPr="002E1FC2">
        <w:rPr>
          <w:rFonts w:asciiTheme="minorBidi" w:hAnsiTheme="minorBidi"/>
        </w:rPr>
        <w:t xml:space="preserve">Cash-Gibson </w:t>
      </w:r>
      <w:r w:rsidR="00D73DF3">
        <w:rPr>
          <w:rFonts w:asciiTheme="minorBidi" w:hAnsiTheme="minorBidi"/>
        </w:rPr>
        <w:t>et al. 2018</w:t>
      </w:r>
      <w:r w:rsidR="00D73DF3">
        <w:rPr>
          <w:rStyle w:val="A9"/>
        </w:rPr>
        <w:t>)</w:t>
      </w:r>
      <w:r>
        <w:rPr>
          <w:rStyle w:val="A9"/>
        </w:rPr>
        <w:t xml:space="preserve">. This situation </w:t>
      </w:r>
      <w:r w:rsidR="00EC056C">
        <w:rPr>
          <w:rStyle w:val="A9"/>
        </w:rPr>
        <w:t>has prompted</w:t>
      </w:r>
      <w:r w:rsidRPr="00097228">
        <w:rPr>
          <w:rStyle w:val="A9"/>
        </w:rPr>
        <w:t xml:space="preserve"> </w:t>
      </w:r>
      <w:r>
        <w:rPr>
          <w:rStyle w:val="A9"/>
        </w:rPr>
        <w:t>many voices</w:t>
      </w:r>
      <w:r w:rsidRPr="00097228">
        <w:rPr>
          <w:rStyle w:val="A9"/>
        </w:rPr>
        <w:t xml:space="preserve"> </w:t>
      </w:r>
      <w:r w:rsidR="000971DB">
        <w:rPr>
          <w:rStyle w:val="A9"/>
        </w:rPr>
        <w:t xml:space="preserve">to </w:t>
      </w:r>
      <w:r>
        <w:rPr>
          <w:rStyle w:val="A9"/>
        </w:rPr>
        <w:t>questio</w:t>
      </w:r>
      <w:r w:rsidR="00EC056C">
        <w:rPr>
          <w:rStyle w:val="A9"/>
        </w:rPr>
        <w:t>n the content of the information base needed</w:t>
      </w:r>
      <w:r w:rsidRPr="00097228">
        <w:rPr>
          <w:rStyle w:val="A9"/>
        </w:rPr>
        <w:t xml:space="preserve"> </w:t>
      </w:r>
      <w:r w:rsidR="00EC056C">
        <w:rPr>
          <w:rStyle w:val="A9"/>
        </w:rPr>
        <w:t>to allow</w:t>
      </w:r>
      <w:r w:rsidRPr="00097228">
        <w:rPr>
          <w:rStyle w:val="A9"/>
        </w:rPr>
        <w:t xml:space="preserve"> countries to develop effective solutions</w:t>
      </w:r>
      <w:r w:rsidR="00D73DF3">
        <w:rPr>
          <w:rStyle w:val="A9"/>
        </w:rPr>
        <w:t xml:space="preserve"> </w:t>
      </w:r>
      <w:r w:rsidR="00EC056C">
        <w:rPr>
          <w:rStyle w:val="A9"/>
        </w:rPr>
        <w:t xml:space="preserve">to health inequities </w:t>
      </w:r>
      <w:r w:rsidR="00D73DF3">
        <w:rPr>
          <w:rStyle w:val="A9"/>
        </w:rPr>
        <w:t>(</w:t>
      </w:r>
      <w:proofErr w:type="spellStart"/>
      <w:r w:rsidR="00D73DF3" w:rsidRPr="002E1FC2">
        <w:rPr>
          <w:rFonts w:asciiTheme="minorBidi" w:hAnsiTheme="minorBidi"/>
        </w:rPr>
        <w:t>Birn</w:t>
      </w:r>
      <w:proofErr w:type="spellEnd"/>
      <w:r w:rsidR="00D73DF3">
        <w:rPr>
          <w:rFonts w:asciiTheme="minorBidi" w:hAnsiTheme="minorBidi"/>
        </w:rPr>
        <w:t xml:space="preserve"> et al. 2017</w:t>
      </w:r>
      <w:r w:rsidR="00D73DF3">
        <w:rPr>
          <w:rStyle w:val="A9"/>
        </w:rPr>
        <w:t>)</w:t>
      </w:r>
      <w:r>
        <w:rPr>
          <w:rStyle w:val="A9"/>
        </w:rPr>
        <w:t xml:space="preserve">. </w:t>
      </w:r>
      <w:r w:rsidR="00EC056C">
        <w:rPr>
          <w:rStyle w:val="A9"/>
        </w:rPr>
        <w:t>M</w:t>
      </w:r>
      <w:r w:rsidR="000971DB">
        <w:rPr>
          <w:rStyle w:val="A9"/>
        </w:rPr>
        <w:t>any global efforts came out as response</w:t>
      </w:r>
      <w:r w:rsidR="002F7776">
        <w:rPr>
          <w:rStyle w:val="A9"/>
        </w:rPr>
        <w:t>. The</w:t>
      </w:r>
      <w:r w:rsidR="00EC056C">
        <w:rPr>
          <w:rStyle w:val="A9"/>
        </w:rPr>
        <w:t xml:space="preserve"> conceptualization of multilevel pathways of health impact is well articulated </w:t>
      </w:r>
      <w:r w:rsidR="00233A02">
        <w:rPr>
          <w:rStyle w:val="A9"/>
        </w:rPr>
        <w:t>that the</w:t>
      </w:r>
      <w:r w:rsidR="000971DB" w:rsidRPr="000971DB">
        <w:rPr>
          <w:rStyle w:val="A9"/>
        </w:rPr>
        <w:t xml:space="preserve"> social, </w:t>
      </w:r>
      <w:proofErr w:type="gramStart"/>
      <w:r w:rsidR="000971DB" w:rsidRPr="000971DB">
        <w:rPr>
          <w:rStyle w:val="A9"/>
        </w:rPr>
        <w:t>economic</w:t>
      </w:r>
      <w:proofErr w:type="gramEnd"/>
      <w:r w:rsidR="000971DB" w:rsidRPr="000971DB">
        <w:rPr>
          <w:rStyle w:val="A9"/>
        </w:rPr>
        <w:t xml:space="preserve"> and political contexts in which </w:t>
      </w:r>
      <w:r w:rsidR="001A3799">
        <w:rPr>
          <w:rStyle w:val="A9"/>
        </w:rPr>
        <w:t>people</w:t>
      </w:r>
      <w:r w:rsidR="000971DB" w:rsidRPr="000971DB">
        <w:rPr>
          <w:rStyle w:val="A9"/>
        </w:rPr>
        <w:t xml:space="preserve"> live</w:t>
      </w:r>
      <w:r w:rsidR="0063427E">
        <w:rPr>
          <w:rStyle w:val="A9"/>
        </w:rPr>
        <w:t xml:space="preserve"> </w:t>
      </w:r>
      <w:r w:rsidR="0063427E" w:rsidRPr="000971DB">
        <w:rPr>
          <w:rStyle w:val="A9"/>
        </w:rPr>
        <w:t>produce</w:t>
      </w:r>
      <w:r w:rsidR="000971DB" w:rsidRPr="000971DB">
        <w:rPr>
          <w:rStyle w:val="A9"/>
        </w:rPr>
        <w:t xml:space="preserve"> and </w:t>
      </w:r>
      <w:r w:rsidR="0063427E" w:rsidRPr="000971DB">
        <w:rPr>
          <w:rStyle w:val="A9"/>
        </w:rPr>
        <w:t>uphold</w:t>
      </w:r>
      <w:r w:rsidR="000971DB" w:rsidRPr="000971DB">
        <w:rPr>
          <w:rStyle w:val="A9"/>
        </w:rPr>
        <w:t xml:space="preserve"> the social hierarchies of power and</w:t>
      </w:r>
      <w:r w:rsidR="0063427E">
        <w:rPr>
          <w:rStyle w:val="A9"/>
        </w:rPr>
        <w:t xml:space="preserve"> </w:t>
      </w:r>
      <w:r w:rsidR="00DE70C7">
        <w:rPr>
          <w:rStyle w:val="A9"/>
        </w:rPr>
        <w:t>resources</w:t>
      </w:r>
      <w:r w:rsidR="00C53AB3">
        <w:rPr>
          <w:rStyle w:val="A9"/>
        </w:rPr>
        <w:t xml:space="preserve"> (CSDH)</w:t>
      </w:r>
      <w:r w:rsidR="00233A02">
        <w:rPr>
          <w:rStyle w:val="A9"/>
        </w:rPr>
        <w:t xml:space="preserve">. These in turn lead to differential life course exposures that are further </w:t>
      </w:r>
      <w:r w:rsidR="00E047C0">
        <w:rPr>
          <w:rStyle w:val="A9"/>
        </w:rPr>
        <w:t>exemplified</w:t>
      </w:r>
      <w:r w:rsidR="00E047C0" w:rsidRPr="00E047C0">
        <w:rPr>
          <w:rStyle w:val="A9"/>
        </w:rPr>
        <w:t xml:space="preserve"> by individuals</w:t>
      </w:r>
      <w:r w:rsidR="00DE70C7">
        <w:rPr>
          <w:rStyle w:val="A9"/>
        </w:rPr>
        <w:t>’ behaviors</w:t>
      </w:r>
      <w:r w:rsidR="00E047C0" w:rsidRPr="00E047C0">
        <w:rPr>
          <w:rStyle w:val="A9"/>
        </w:rPr>
        <w:t xml:space="preserve">, and </w:t>
      </w:r>
      <w:r w:rsidR="00233A02">
        <w:rPr>
          <w:rStyle w:val="A9"/>
        </w:rPr>
        <w:t>end in</w:t>
      </w:r>
      <w:r w:rsidR="00E047C0" w:rsidRPr="00E047C0">
        <w:rPr>
          <w:rStyle w:val="A9"/>
        </w:rPr>
        <w:t xml:space="preserve"> avoidable and unfair</w:t>
      </w:r>
      <w:r w:rsidR="00E047C0">
        <w:rPr>
          <w:rStyle w:val="A9"/>
        </w:rPr>
        <w:t xml:space="preserve"> </w:t>
      </w:r>
      <w:r w:rsidR="00E047C0" w:rsidRPr="00E047C0">
        <w:rPr>
          <w:rStyle w:val="A9"/>
        </w:rPr>
        <w:t>systematic differences in health, within and between</w:t>
      </w:r>
      <w:r w:rsidR="00E047C0">
        <w:rPr>
          <w:rStyle w:val="A9"/>
        </w:rPr>
        <w:t xml:space="preserve"> </w:t>
      </w:r>
      <w:r w:rsidR="00365F3C">
        <w:rPr>
          <w:rStyle w:val="A9"/>
        </w:rPr>
        <w:t xml:space="preserve">countries </w:t>
      </w:r>
      <w:r w:rsidR="001A3799">
        <w:rPr>
          <w:rStyle w:val="A9"/>
        </w:rPr>
        <w:t>(</w:t>
      </w:r>
      <w:r w:rsidR="001A3799">
        <w:t>Whitehead</w:t>
      </w:r>
      <w:r w:rsidR="001A3799">
        <w:rPr>
          <w:rStyle w:val="A9"/>
        </w:rPr>
        <w:t xml:space="preserve"> 1990; </w:t>
      </w:r>
      <w:r w:rsidR="00233A02">
        <w:rPr>
          <w:rStyle w:val="A9"/>
        </w:rPr>
        <w:t>CSDH</w:t>
      </w:r>
      <w:r w:rsidR="001A3799">
        <w:rPr>
          <w:rStyle w:val="A9"/>
        </w:rPr>
        <w:t xml:space="preserve"> 2008; Solar and </w:t>
      </w:r>
      <w:r w:rsidR="001A3799" w:rsidRPr="00CA5DBF">
        <w:rPr>
          <w:rFonts w:asciiTheme="minorBidi" w:hAnsiTheme="minorBidi"/>
        </w:rPr>
        <w:t>Irwin</w:t>
      </w:r>
      <w:r w:rsidR="001A3799">
        <w:rPr>
          <w:rStyle w:val="UnresolvedMention"/>
        </w:rPr>
        <w:t xml:space="preserve"> </w:t>
      </w:r>
      <w:r w:rsidR="001A3799">
        <w:rPr>
          <w:rStyle w:val="A9"/>
        </w:rPr>
        <w:t xml:space="preserve">2010; </w:t>
      </w:r>
      <w:proofErr w:type="spellStart"/>
      <w:r w:rsidR="001A3799" w:rsidRPr="00CA5DBF">
        <w:rPr>
          <w:rFonts w:asciiTheme="minorBidi" w:hAnsiTheme="minorBidi"/>
        </w:rPr>
        <w:t>Schrecker</w:t>
      </w:r>
      <w:proofErr w:type="spellEnd"/>
      <w:r w:rsidR="001A3799" w:rsidRPr="00CA5DBF">
        <w:rPr>
          <w:rFonts w:asciiTheme="minorBidi" w:hAnsiTheme="minorBidi"/>
        </w:rPr>
        <w:t xml:space="preserve"> </w:t>
      </w:r>
      <w:r w:rsidR="001A3799">
        <w:rPr>
          <w:rFonts w:asciiTheme="minorBidi" w:hAnsiTheme="minorBidi"/>
        </w:rPr>
        <w:t>and</w:t>
      </w:r>
      <w:r w:rsidR="001A3799" w:rsidRPr="00CA5DBF">
        <w:rPr>
          <w:rFonts w:asciiTheme="minorBidi" w:hAnsiTheme="minorBidi"/>
        </w:rPr>
        <w:t xml:space="preserve"> Bambra</w:t>
      </w:r>
      <w:r w:rsidR="001A3799">
        <w:rPr>
          <w:rFonts w:asciiTheme="minorBidi" w:hAnsiTheme="minorBidi"/>
        </w:rPr>
        <w:t xml:space="preserve"> 2015)</w:t>
      </w:r>
      <w:r w:rsidR="00E047C0" w:rsidRPr="00E047C0">
        <w:rPr>
          <w:rStyle w:val="A9"/>
        </w:rPr>
        <w:t>.</w:t>
      </w:r>
      <w:r w:rsidR="00365F3C">
        <w:rPr>
          <w:rStyle w:val="A9"/>
        </w:rPr>
        <w:t xml:space="preserve"> </w:t>
      </w:r>
      <w:r w:rsidR="002D06C5">
        <w:rPr>
          <w:rStyle w:val="A9"/>
        </w:rPr>
        <w:t>Involving</w:t>
      </w:r>
      <w:r w:rsidR="00CF6A7B" w:rsidRPr="00CF6A7B">
        <w:rPr>
          <w:rStyle w:val="A9"/>
        </w:rPr>
        <w:t xml:space="preserve"> the whole of government in policies and practice</w:t>
      </w:r>
      <w:r w:rsidR="00365F3C">
        <w:rPr>
          <w:rStyle w:val="A9"/>
        </w:rPr>
        <w:t xml:space="preserve"> </w:t>
      </w:r>
      <w:r w:rsidR="00A87BD1">
        <w:rPr>
          <w:rStyle w:val="A9"/>
        </w:rPr>
        <w:t>have been called for</w:t>
      </w:r>
      <w:r w:rsidR="00365F3C">
        <w:rPr>
          <w:rStyle w:val="A9"/>
        </w:rPr>
        <w:t xml:space="preserve"> as the only </w:t>
      </w:r>
      <w:r w:rsidR="00A87BD1">
        <w:rPr>
          <w:rStyle w:val="A9"/>
        </w:rPr>
        <w:t>effective</w:t>
      </w:r>
      <w:r w:rsidR="00365F3C">
        <w:rPr>
          <w:rStyle w:val="A9"/>
        </w:rPr>
        <w:t xml:space="preserve"> way</w:t>
      </w:r>
      <w:r w:rsidR="00CF6A7B" w:rsidRPr="00CF6A7B">
        <w:rPr>
          <w:rStyle w:val="A9"/>
        </w:rPr>
        <w:t xml:space="preserve"> to </w:t>
      </w:r>
      <w:r w:rsidR="00365F3C" w:rsidRPr="00365F3C">
        <w:rPr>
          <w:rStyle w:val="A9"/>
        </w:rPr>
        <w:t>improve health</w:t>
      </w:r>
      <w:r w:rsidR="00365F3C">
        <w:rPr>
          <w:rStyle w:val="A9"/>
        </w:rPr>
        <w:t xml:space="preserve"> </w:t>
      </w:r>
      <w:r w:rsidR="00365F3C" w:rsidRPr="00365F3C">
        <w:rPr>
          <w:rStyle w:val="A9"/>
        </w:rPr>
        <w:t>for all</w:t>
      </w:r>
      <w:r w:rsidR="00365F3C">
        <w:rPr>
          <w:rStyle w:val="A9"/>
        </w:rPr>
        <w:t xml:space="preserve"> (CSDH</w:t>
      </w:r>
      <w:r w:rsidR="006B38BC">
        <w:rPr>
          <w:rStyle w:val="A9"/>
        </w:rPr>
        <w:t xml:space="preserve"> </w:t>
      </w:r>
      <w:r w:rsidR="00CB428A">
        <w:rPr>
          <w:rStyle w:val="A9"/>
        </w:rPr>
        <w:t>2008</w:t>
      </w:r>
      <w:r w:rsidR="00365F3C">
        <w:rPr>
          <w:rStyle w:val="A9"/>
        </w:rPr>
        <w:t>)</w:t>
      </w:r>
      <w:r w:rsidR="00CF6A7B" w:rsidRPr="00CF6A7B">
        <w:rPr>
          <w:rStyle w:val="A9"/>
        </w:rPr>
        <w:t xml:space="preserve">. </w:t>
      </w:r>
      <w:r w:rsidR="00FB3C88">
        <w:rPr>
          <w:rStyle w:val="A9"/>
        </w:rPr>
        <w:t xml:space="preserve">The Commission on the Social Determinants of Health (CSDH) </w:t>
      </w:r>
      <w:r w:rsidR="00A87BD1">
        <w:t>emphasized the</w:t>
      </w:r>
      <w:r w:rsidR="00FB3C88">
        <w:t xml:space="preserve"> approach to development that involves the participation of all levels of </w:t>
      </w:r>
      <w:r w:rsidR="00DC2408">
        <w:t xml:space="preserve">national </w:t>
      </w:r>
      <w:r w:rsidR="00FB3C88">
        <w:t xml:space="preserve">government, civil society, </w:t>
      </w:r>
      <w:proofErr w:type="gramStart"/>
      <w:r w:rsidR="00FB3C88">
        <w:t>business</w:t>
      </w:r>
      <w:proofErr w:type="gramEnd"/>
      <w:r w:rsidR="00FB3C88">
        <w:t xml:space="preserve"> and local communities to </w:t>
      </w:r>
      <w:r w:rsidR="00342429">
        <w:t xml:space="preserve">address the multilevel social determinants as means to </w:t>
      </w:r>
      <w:r w:rsidR="00FB3C88">
        <w:t xml:space="preserve">improve </w:t>
      </w:r>
      <w:r w:rsidR="00DC2408">
        <w:t>health and promote health equity</w:t>
      </w:r>
      <w:r w:rsidR="00FB3C88">
        <w:t xml:space="preserve">. The CSDH </w:t>
      </w:r>
      <w:r w:rsidR="00A87BD1">
        <w:t>stated</w:t>
      </w:r>
      <w:r w:rsidR="00FB3C88">
        <w:t xml:space="preserve"> that reducing health inequities would require actions to “</w:t>
      </w:r>
      <w:r w:rsidR="00DC2408" w:rsidRPr="00D62F65">
        <w:rPr>
          <w:b/>
          <w:bCs/>
          <w:i/>
          <w:iCs/>
        </w:rPr>
        <w:t>improve daily living conditions</w:t>
      </w:r>
      <w:r w:rsidR="00FB3C88" w:rsidRPr="00D62F65">
        <w:rPr>
          <w:b/>
          <w:bCs/>
          <w:i/>
          <w:iCs/>
        </w:rPr>
        <w:t xml:space="preserve"> and to tackle the inequitable distribution of power, money and resources</w:t>
      </w:r>
      <w:r w:rsidR="00FB3C88">
        <w:t xml:space="preserve">” and </w:t>
      </w:r>
      <w:r w:rsidR="00A87BD1">
        <w:t>supported the existing</w:t>
      </w:r>
      <w:r w:rsidR="00FB3C88">
        <w:t xml:space="preserve"> call</w:t>
      </w:r>
      <w:r w:rsidR="00A87BD1">
        <w:t>s</w:t>
      </w:r>
      <w:r w:rsidR="00FB3C88">
        <w:t xml:space="preserve"> for “Health in All Policies</w:t>
      </w:r>
      <w:r w:rsidR="00DC2408">
        <w:t>” (</w:t>
      </w:r>
      <w:proofErr w:type="spellStart"/>
      <w:r w:rsidR="00DC2408">
        <w:t>HiAP</w:t>
      </w:r>
      <w:proofErr w:type="spellEnd"/>
      <w:r w:rsidR="00DC2408">
        <w:t>), intersectoral actions and</w:t>
      </w:r>
      <w:r w:rsidR="00FB3C88">
        <w:t xml:space="preserve"> win-win strategies where health is either a direct or a co-benefit. </w:t>
      </w:r>
    </w:p>
    <w:p w14:paraId="1DB15A02" w14:textId="77777777" w:rsidR="00CF6A7B" w:rsidRDefault="00CF6A7B"/>
    <w:p w14:paraId="37D6C4C9" w14:textId="65BD47E7" w:rsidR="00D34583" w:rsidRDefault="00250269" w:rsidP="00DC2408">
      <w:pPr>
        <w:tabs>
          <w:tab w:val="num" w:pos="720"/>
        </w:tabs>
      </w:pPr>
      <w:r>
        <w:t>Th</w:t>
      </w:r>
      <w:r w:rsidR="00A87BD1">
        <w:t>e</w:t>
      </w:r>
      <w:r>
        <w:t xml:space="preserve"> vision </w:t>
      </w:r>
      <w:r w:rsidR="00A87BD1">
        <w:t>of integrated policies is also evident in</w:t>
      </w:r>
      <w:r>
        <w:t xml:space="preserve"> the Sustainable Development Agenda </w:t>
      </w:r>
      <w:r w:rsidR="00CB428A">
        <w:t>(United Nations 2015)</w:t>
      </w:r>
      <w:r w:rsidR="00342429">
        <w:t>. The agenda</w:t>
      </w:r>
      <w:r w:rsidR="00DC2408">
        <w:t xml:space="preserve"> presented a model of </w:t>
      </w:r>
      <w:r w:rsidR="00B5612A" w:rsidRPr="00B1566F">
        <w:t>integrated thinking</w:t>
      </w:r>
      <w:r w:rsidR="00B5612A">
        <w:t xml:space="preserve"> over its interdependent </w:t>
      </w:r>
      <w:r>
        <w:t>Sustainable Development Goals (SDGs)</w:t>
      </w:r>
      <w:r w:rsidR="00B5612A">
        <w:t xml:space="preserve"> </w:t>
      </w:r>
      <w:r w:rsidR="00342429">
        <w:t xml:space="preserve">as sensitive measures </w:t>
      </w:r>
      <w:r w:rsidR="009A0A5C">
        <w:t>of</w:t>
      </w:r>
      <w:r w:rsidR="00342429">
        <w:t xml:space="preserve"> national success </w:t>
      </w:r>
      <w:r w:rsidR="00B5612A">
        <w:t>(</w:t>
      </w:r>
      <w:r w:rsidR="0092246B">
        <w:t>United Nations 2015; WHO 2015; WHO 2016</w:t>
      </w:r>
      <w:r w:rsidR="00B5612A">
        <w:t>)</w:t>
      </w:r>
      <w:r w:rsidR="00D34583">
        <w:t>. The 2030 Agenda</w:t>
      </w:r>
      <w:r w:rsidR="00C00A03">
        <w:rPr>
          <w:vertAlign w:val="superscript"/>
        </w:rPr>
        <w:t xml:space="preserve"> </w:t>
      </w:r>
      <w:r w:rsidR="00C00A03">
        <w:t>(</w:t>
      </w:r>
      <w:r w:rsidR="00F01D72">
        <w:rPr>
          <w:rFonts w:asciiTheme="minorBidi" w:hAnsiTheme="minorBidi"/>
        </w:rPr>
        <w:t>United Nations 2015</w:t>
      </w:r>
      <w:r w:rsidR="00C00A03">
        <w:t>)</w:t>
      </w:r>
      <w:r w:rsidR="00D34583">
        <w:t xml:space="preserve"> </w:t>
      </w:r>
      <w:r w:rsidR="00C00A03">
        <w:t>generates a</w:t>
      </w:r>
      <w:r w:rsidR="00D34583">
        <w:t xml:space="preserve"> policy framework</w:t>
      </w:r>
      <w:r w:rsidR="00C00A03">
        <w:t xml:space="preserve"> founded on</w:t>
      </w:r>
      <w:r w:rsidR="00D34583">
        <w:t xml:space="preserve"> </w:t>
      </w:r>
      <w:r w:rsidR="00C00A03">
        <w:t xml:space="preserve">social justice and human rights to </w:t>
      </w:r>
      <w:r w:rsidR="00D34583">
        <w:t xml:space="preserve">promote </w:t>
      </w:r>
      <w:r w:rsidR="00A87BD1">
        <w:t xml:space="preserve">progress </w:t>
      </w:r>
      <w:r w:rsidR="00DC2408">
        <w:t>“</w:t>
      </w:r>
      <w:r w:rsidR="00DC2408" w:rsidRPr="00180B98">
        <w:rPr>
          <w:b/>
          <w:bCs/>
          <w:i/>
          <w:iCs/>
        </w:rPr>
        <w:t>For All</w:t>
      </w:r>
      <w:r w:rsidR="00DC2408">
        <w:t>”</w:t>
      </w:r>
      <w:r w:rsidR="00D34583">
        <w:t xml:space="preserve"> on a global scale. </w:t>
      </w:r>
    </w:p>
    <w:p w14:paraId="349EF961" w14:textId="2D055D1F" w:rsidR="00E8568F" w:rsidRDefault="00E8568F" w:rsidP="00DC2408"/>
    <w:p w14:paraId="5990EEDE" w14:textId="26792CEE" w:rsidR="00A93C66" w:rsidRDefault="00A87BD1" w:rsidP="00A93C66">
      <w:r>
        <w:t>It may be appropriate to note that the public health discourse and the development discourse are consistent in their understanding of the need for a comprehensive and integrated approach to progress development and health</w:t>
      </w:r>
      <w:r w:rsidR="003E6A03">
        <w:t xml:space="preserve">, as well as their concern with inequalities and their detrimental impact. However, there are </w:t>
      </w:r>
      <w:proofErr w:type="gramStart"/>
      <w:r w:rsidR="003E6A03">
        <w:t>a number of</w:t>
      </w:r>
      <w:proofErr w:type="gramEnd"/>
      <w:r w:rsidR="003E6A03">
        <w:t xml:space="preserve"> key differences in terms of positioning health in their two paradigms</w:t>
      </w:r>
      <w:r w:rsidR="009E3896">
        <w:t>,</w:t>
      </w:r>
      <w:r w:rsidR="003E6A03">
        <w:t xml:space="preserve"> as well as in the differentiation between inequalit</w:t>
      </w:r>
      <w:r w:rsidR="002F7776">
        <w:t>ies</w:t>
      </w:r>
      <w:r w:rsidR="003E6A03">
        <w:t xml:space="preserve"> and inequities.</w:t>
      </w:r>
      <w:r w:rsidR="003311DA">
        <w:t xml:space="preserve"> The public health places health and wellbeing as an impact goal of all other S</w:t>
      </w:r>
      <w:r w:rsidR="009E3896">
        <w:t>D</w:t>
      </w:r>
      <w:r w:rsidR="003311DA">
        <w:t xml:space="preserve">Gs, it also puts special weight to the </w:t>
      </w:r>
      <w:r w:rsidR="003311DA">
        <w:lastRenderedPageBreak/>
        <w:t>role of the structural upstream policies as producing the many levels of unfair opportunities and r</w:t>
      </w:r>
      <w:r w:rsidR="009E3896">
        <w:t>i</w:t>
      </w:r>
      <w:r w:rsidR="003311DA">
        <w:t>sk factors for health</w:t>
      </w:r>
      <w:r w:rsidR="009E3896">
        <w:t>. This is emphasized in the recent public health framing.</w:t>
      </w:r>
      <w:r w:rsidR="00A93C66">
        <w:t xml:space="preserve"> </w:t>
      </w:r>
    </w:p>
    <w:p w14:paraId="3773957B" w14:textId="77777777" w:rsidR="00A93C66" w:rsidRDefault="00A93C66" w:rsidP="00A93C66"/>
    <w:p w14:paraId="419A65A6" w14:textId="7ACCC90E" w:rsidR="00A93C66" w:rsidRPr="00963F3E" w:rsidRDefault="00A93C66" w:rsidP="00A93C66">
      <w:pPr>
        <w:rPr>
          <w:color w:val="000000" w:themeColor="text1"/>
        </w:rPr>
      </w:pPr>
      <w:r>
        <w:t xml:space="preserve">The Arab </w:t>
      </w:r>
      <w:r>
        <w:rPr>
          <w:sz w:val="23"/>
          <w:szCs w:val="23"/>
        </w:rPr>
        <w:t xml:space="preserve">Ministries of Health (MoH) are </w:t>
      </w:r>
      <w:r w:rsidR="00540BE3">
        <w:rPr>
          <w:sz w:val="23"/>
          <w:szCs w:val="23"/>
        </w:rPr>
        <w:t xml:space="preserve">attempting to contribute to </w:t>
      </w:r>
      <w:proofErr w:type="gramStart"/>
      <w:r w:rsidR="00540BE3">
        <w:rPr>
          <w:sz w:val="23"/>
          <w:szCs w:val="23"/>
        </w:rPr>
        <w:t>development, and</w:t>
      </w:r>
      <w:proofErr w:type="gramEnd"/>
      <w:r w:rsidR="00540BE3">
        <w:rPr>
          <w:sz w:val="23"/>
          <w:szCs w:val="23"/>
        </w:rPr>
        <w:t xml:space="preserve"> are </w:t>
      </w:r>
      <w:r>
        <w:rPr>
          <w:sz w:val="23"/>
          <w:szCs w:val="23"/>
        </w:rPr>
        <w:t xml:space="preserve">struggling to champion the pursuit of health </w:t>
      </w:r>
      <w:r w:rsidR="00540BE3">
        <w:rPr>
          <w:sz w:val="23"/>
          <w:szCs w:val="23"/>
        </w:rPr>
        <w:t>“For All”</w:t>
      </w:r>
      <w:r>
        <w:rPr>
          <w:sz w:val="23"/>
          <w:szCs w:val="23"/>
        </w:rPr>
        <w:t>. These efforts are catalyzed by the urgency to progress on universal health coverage (UHC) and to report progress on the SDGs (</w:t>
      </w:r>
      <w:r w:rsidRPr="00B60658">
        <w:rPr>
          <w:rFonts w:asciiTheme="minorBidi" w:hAnsiTheme="minorBidi"/>
        </w:rPr>
        <w:t>Sahay</w:t>
      </w:r>
      <w:r>
        <w:rPr>
          <w:rFonts w:asciiTheme="minorBidi" w:hAnsiTheme="minorBidi"/>
        </w:rPr>
        <w:t xml:space="preserve"> et al 2020)</w:t>
      </w:r>
      <w:r>
        <w:rPr>
          <w:sz w:val="23"/>
          <w:szCs w:val="23"/>
        </w:rPr>
        <w:t xml:space="preserve">. But still the efforts in the Arab world continue to emphasize healthcare services to the detriment of addressing the social determinants as root causes of ill health. </w:t>
      </w:r>
    </w:p>
    <w:p w14:paraId="41D2494D" w14:textId="683A5BBC" w:rsidR="00A87BD1" w:rsidRDefault="00A87BD1" w:rsidP="00DC2408"/>
    <w:p w14:paraId="21DE2326" w14:textId="317EA507" w:rsidR="00A93C66" w:rsidRDefault="00A93C66" w:rsidP="00DC2408">
      <w:r>
        <w:t>This background document recognizes the many efforts in Arab countries, the political leverage of the SDGs paradigm and the opportunities offered by its pillars. It is also conscious to embrace the important features of the public health paradigm.</w:t>
      </w:r>
    </w:p>
    <w:p w14:paraId="74F6F989" w14:textId="77777777" w:rsidR="00A87BD1" w:rsidRDefault="00A87BD1" w:rsidP="00DC2408"/>
    <w:p w14:paraId="2DD4ADBD" w14:textId="17798B7D" w:rsidR="00963F3E" w:rsidRDefault="00257E4C" w:rsidP="00DE70C7">
      <w:pPr>
        <w:rPr>
          <w:color w:val="000000" w:themeColor="text1"/>
        </w:rPr>
      </w:pPr>
      <w:r w:rsidRPr="00F80499">
        <w:rPr>
          <w:color w:val="000000" w:themeColor="text1"/>
        </w:rPr>
        <w:t xml:space="preserve">A prerequisite for </w:t>
      </w:r>
      <w:r w:rsidR="00005EF0" w:rsidRPr="00F80499">
        <w:rPr>
          <w:color w:val="000000" w:themeColor="text1"/>
        </w:rPr>
        <w:t>seizing th</w:t>
      </w:r>
      <w:r w:rsidR="00A93C66">
        <w:rPr>
          <w:color w:val="000000" w:themeColor="text1"/>
        </w:rPr>
        <w:t>e</w:t>
      </w:r>
      <w:r w:rsidR="00005EF0" w:rsidRPr="00F80499">
        <w:rPr>
          <w:color w:val="000000" w:themeColor="text1"/>
        </w:rPr>
        <w:t xml:space="preserve"> opportunity</w:t>
      </w:r>
      <w:r w:rsidR="00A93C66">
        <w:rPr>
          <w:color w:val="000000" w:themeColor="text1"/>
        </w:rPr>
        <w:t xml:space="preserve"> offered by the international embrace of the development vision,</w:t>
      </w:r>
      <w:r w:rsidRPr="00F80499">
        <w:rPr>
          <w:color w:val="000000" w:themeColor="text1"/>
        </w:rPr>
        <w:t xml:space="preserve"> is the investment in information systems to be able to produce </w:t>
      </w:r>
      <w:proofErr w:type="gramStart"/>
      <w:r w:rsidRPr="00F80499">
        <w:rPr>
          <w:color w:val="000000" w:themeColor="text1"/>
        </w:rPr>
        <w:t>a strong evidence</w:t>
      </w:r>
      <w:proofErr w:type="gramEnd"/>
      <w:r w:rsidRPr="00F80499">
        <w:rPr>
          <w:color w:val="000000" w:themeColor="text1"/>
        </w:rPr>
        <w:t xml:space="preserve"> base </w:t>
      </w:r>
      <w:r w:rsidR="00937322" w:rsidRPr="00F80499">
        <w:rPr>
          <w:color w:val="000000" w:themeColor="text1"/>
        </w:rPr>
        <w:t>capable of</w:t>
      </w:r>
      <w:r w:rsidRPr="00F80499">
        <w:rPr>
          <w:color w:val="000000" w:themeColor="text1"/>
        </w:rPr>
        <w:t xml:space="preserve"> inform</w:t>
      </w:r>
      <w:r w:rsidR="00937322" w:rsidRPr="00F80499">
        <w:rPr>
          <w:color w:val="000000" w:themeColor="text1"/>
        </w:rPr>
        <w:t>ing</w:t>
      </w:r>
      <w:r w:rsidRPr="00F80499">
        <w:rPr>
          <w:color w:val="000000" w:themeColor="text1"/>
        </w:rPr>
        <w:t xml:space="preserve"> effective policies and interventions</w:t>
      </w:r>
      <w:r w:rsidR="00695034" w:rsidRPr="00F80499">
        <w:rPr>
          <w:color w:val="000000" w:themeColor="text1"/>
        </w:rPr>
        <w:t xml:space="preserve">. </w:t>
      </w:r>
      <w:r w:rsidR="006C3C0B" w:rsidRPr="00F80499">
        <w:rPr>
          <w:color w:val="000000" w:themeColor="text1"/>
        </w:rPr>
        <w:t xml:space="preserve">It is quite evident that lack of actionable </w:t>
      </w:r>
      <w:r w:rsidR="000845C6" w:rsidRPr="00F80499">
        <w:rPr>
          <w:color w:val="000000" w:themeColor="text1"/>
        </w:rPr>
        <w:t xml:space="preserve">and timely data on SDH may impede efforts </w:t>
      </w:r>
      <w:r w:rsidR="00145E50" w:rsidRPr="00F80499">
        <w:rPr>
          <w:color w:val="000000" w:themeColor="text1"/>
        </w:rPr>
        <w:t xml:space="preserve">to achieve the SDGs by 2030. </w:t>
      </w:r>
      <w:r w:rsidR="00695034" w:rsidRPr="00F80499">
        <w:rPr>
          <w:color w:val="000000" w:themeColor="text1"/>
        </w:rPr>
        <w:t>Clearly</w:t>
      </w:r>
      <w:r w:rsidR="008B7BFC" w:rsidRPr="00F80499">
        <w:rPr>
          <w:color w:val="000000" w:themeColor="text1"/>
        </w:rPr>
        <w:t xml:space="preserve"> this </w:t>
      </w:r>
      <w:r w:rsidR="009A0A5C">
        <w:rPr>
          <w:color w:val="000000" w:themeColor="text1"/>
        </w:rPr>
        <w:t xml:space="preserve">is </w:t>
      </w:r>
      <w:r w:rsidR="008B7BFC" w:rsidRPr="00F80499">
        <w:rPr>
          <w:color w:val="000000" w:themeColor="text1"/>
        </w:rPr>
        <w:t>a felt need in</w:t>
      </w:r>
      <w:r w:rsidR="00DE70C7" w:rsidRPr="00F80499">
        <w:rPr>
          <w:color w:val="000000" w:themeColor="text1"/>
        </w:rPr>
        <w:t xml:space="preserve"> the</w:t>
      </w:r>
      <w:r w:rsidR="008B7BFC" w:rsidRPr="00F80499">
        <w:rPr>
          <w:color w:val="000000" w:themeColor="text1"/>
        </w:rPr>
        <w:t xml:space="preserve"> global health s</w:t>
      </w:r>
      <w:r w:rsidR="00A93C66">
        <w:rPr>
          <w:color w:val="000000" w:themeColor="text1"/>
        </w:rPr>
        <w:t>cene</w:t>
      </w:r>
      <w:r w:rsidR="008B7BFC" w:rsidRPr="00F80499">
        <w:rPr>
          <w:color w:val="000000" w:themeColor="text1"/>
        </w:rPr>
        <w:t xml:space="preserve">, </w:t>
      </w:r>
      <w:r w:rsidR="00D9242C" w:rsidRPr="00F80499">
        <w:rPr>
          <w:color w:val="000000" w:themeColor="text1"/>
        </w:rPr>
        <w:t>particu</w:t>
      </w:r>
      <w:r w:rsidR="008B7BFC" w:rsidRPr="00F80499">
        <w:rPr>
          <w:color w:val="000000" w:themeColor="text1"/>
        </w:rPr>
        <w:t xml:space="preserve">larly in </w:t>
      </w:r>
      <w:r w:rsidR="00937322" w:rsidRPr="00F80499">
        <w:rPr>
          <w:color w:val="000000" w:themeColor="text1"/>
        </w:rPr>
        <w:t>developing</w:t>
      </w:r>
      <w:r w:rsidR="008B7BFC" w:rsidRPr="00F80499">
        <w:rPr>
          <w:color w:val="000000" w:themeColor="text1"/>
        </w:rPr>
        <w:t xml:space="preserve"> </w:t>
      </w:r>
      <w:r w:rsidR="00D9242C" w:rsidRPr="00F80499">
        <w:rPr>
          <w:color w:val="000000" w:themeColor="text1"/>
        </w:rPr>
        <w:t xml:space="preserve">countries, </w:t>
      </w:r>
      <w:r w:rsidR="008B7BFC" w:rsidRPr="00F80499">
        <w:rPr>
          <w:color w:val="000000" w:themeColor="text1"/>
        </w:rPr>
        <w:t>to allow for understanding the interplay or relationship</w:t>
      </w:r>
      <w:r w:rsidR="006A3DB8" w:rsidRPr="00F80499">
        <w:rPr>
          <w:color w:val="000000" w:themeColor="text1"/>
        </w:rPr>
        <w:t>s</w:t>
      </w:r>
      <w:r w:rsidR="008B7BFC" w:rsidRPr="00F80499">
        <w:rPr>
          <w:color w:val="000000" w:themeColor="text1"/>
        </w:rPr>
        <w:t xml:space="preserve"> between health inequities and policy and action </w:t>
      </w:r>
      <w:r w:rsidR="00426AB3">
        <w:rPr>
          <w:color w:val="000000" w:themeColor="text1"/>
        </w:rPr>
        <w:t>(</w:t>
      </w:r>
      <w:r w:rsidR="00426AB3" w:rsidRPr="00A13827">
        <w:rPr>
          <w:rFonts w:asciiTheme="minorBidi" w:hAnsiTheme="minorBidi"/>
        </w:rPr>
        <w:t>Smith</w:t>
      </w:r>
      <w:r w:rsidR="00426AB3">
        <w:rPr>
          <w:rFonts w:asciiTheme="minorBidi" w:hAnsiTheme="minorBidi"/>
        </w:rPr>
        <w:t xml:space="preserve"> 2013; </w:t>
      </w:r>
      <w:r w:rsidR="00426AB3" w:rsidRPr="00A13827">
        <w:rPr>
          <w:rFonts w:asciiTheme="minorBidi" w:hAnsiTheme="minorBidi"/>
        </w:rPr>
        <w:t>Whitehead</w:t>
      </w:r>
      <w:r w:rsidR="00426AB3">
        <w:rPr>
          <w:rFonts w:asciiTheme="minorBidi" w:hAnsiTheme="minorBidi"/>
        </w:rPr>
        <w:t xml:space="preserve"> 1998)</w:t>
      </w:r>
      <w:r w:rsidR="00695034" w:rsidRPr="00F80499">
        <w:rPr>
          <w:color w:val="000000" w:themeColor="text1"/>
        </w:rPr>
        <w:t xml:space="preserve">. </w:t>
      </w:r>
    </w:p>
    <w:p w14:paraId="2657E7EF" w14:textId="77777777" w:rsidR="00963F3E" w:rsidRDefault="00963F3E" w:rsidP="00DE70C7">
      <w:pPr>
        <w:rPr>
          <w:color w:val="000000" w:themeColor="text1"/>
        </w:rPr>
      </w:pPr>
    </w:p>
    <w:p w14:paraId="0BF9257B" w14:textId="6D855188" w:rsidR="00DE70C7" w:rsidRPr="00963F3E" w:rsidRDefault="006046D8" w:rsidP="00A93C66">
      <w:pPr>
        <w:rPr>
          <w:color w:val="000000" w:themeColor="text1"/>
        </w:rPr>
      </w:pPr>
      <w:r w:rsidRPr="00F80499">
        <w:rPr>
          <w:color w:val="000000" w:themeColor="text1"/>
        </w:rPr>
        <w:t xml:space="preserve">Numerous </w:t>
      </w:r>
      <w:r w:rsidR="00474AF3">
        <w:rPr>
          <w:color w:val="000000" w:themeColor="text1"/>
        </w:rPr>
        <w:t>global</w:t>
      </w:r>
      <w:r w:rsidR="00DE70C7" w:rsidRPr="00F80499">
        <w:rPr>
          <w:color w:val="000000" w:themeColor="text1"/>
        </w:rPr>
        <w:t xml:space="preserve"> </w:t>
      </w:r>
      <w:r w:rsidRPr="00F80499">
        <w:rPr>
          <w:color w:val="000000" w:themeColor="text1"/>
        </w:rPr>
        <w:t>efforts are on the ground to strengthen the health information systems</w:t>
      </w:r>
      <w:r w:rsidR="00FF3E55" w:rsidRPr="00F80499">
        <w:rPr>
          <w:color w:val="000000" w:themeColor="text1"/>
        </w:rPr>
        <w:t xml:space="preserve"> (HIS)</w:t>
      </w:r>
      <w:r w:rsidR="00474AF3">
        <w:rPr>
          <w:color w:val="000000" w:themeColor="text1"/>
        </w:rPr>
        <w:t xml:space="preserve"> (</w:t>
      </w:r>
      <w:proofErr w:type="spellStart"/>
      <w:r w:rsidR="00474AF3" w:rsidRPr="00474AF3">
        <w:rPr>
          <w:color w:val="000000" w:themeColor="text1"/>
        </w:rPr>
        <w:t>Lippeveld</w:t>
      </w:r>
      <w:proofErr w:type="spellEnd"/>
      <w:r w:rsidR="00474AF3">
        <w:rPr>
          <w:color w:val="000000" w:themeColor="text1"/>
        </w:rPr>
        <w:t xml:space="preserve"> et al 2000;</w:t>
      </w:r>
      <w:r w:rsidR="00474AF3" w:rsidRPr="00474AF3">
        <w:rPr>
          <w:color w:val="000000" w:themeColor="text1"/>
        </w:rPr>
        <w:t xml:space="preserve"> </w:t>
      </w:r>
      <w:proofErr w:type="spellStart"/>
      <w:r w:rsidR="00474AF3" w:rsidRPr="00474AF3">
        <w:rPr>
          <w:color w:val="000000" w:themeColor="text1"/>
        </w:rPr>
        <w:t>Sauerborn</w:t>
      </w:r>
      <w:proofErr w:type="spellEnd"/>
      <w:r w:rsidR="00474AF3">
        <w:rPr>
          <w:color w:val="000000" w:themeColor="text1"/>
        </w:rPr>
        <w:t xml:space="preserve"> </w:t>
      </w:r>
      <w:r w:rsidR="00474AF3" w:rsidRPr="00474AF3">
        <w:rPr>
          <w:color w:val="000000" w:themeColor="text1"/>
        </w:rPr>
        <w:t>&amp; Adam 2009</w:t>
      </w:r>
      <w:r w:rsidR="00474AF3">
        <w:rPr>
          <w:color w:val="000000" w:themeColor="text1"/>
        </w:rPr>
        <w:t>)</w:t>
      </w:r>
      <w:r w:rsidRPr="00F80499">
        <w:rPr>
          <w:color w:val="000000" w:themeColor="text1"/>
        </w:rPr>
        <w:t xml:space="preserve">. </w:t>
      </w:r>
      <w:r w:rsidR="008361DF">
        <w:t>However</w:t>
      </w:r>
      <w:r w:rsidR="00344457">
        <w:t xml:space="preserve">, in the rapidly changing data landscape, </w:t>
      </w:r>
      <w:r w:rsidR="00452C65">
        <w:t xml:space="preserve">many developing countries as those in </w:t>
      </w:r>
      <w:r w:rsidR="00840762">
        <w:t>Arab countries</w:t>
      </w:r>
      <w:r w:rsidR="00FF60AC">
        <w:t xml:space="preserve"> </w:t>
      </w:r>
      <w:r w:rsidR="00663DFD">
        <w:t>are</w:t>
      </w:r>
      <w:r w:rsidR="00663DFD" w:rsidRPr="00A84BD3">
        <w:t xml:space="preserve"> </w:t>
      </w:r>
      <w:r w:rsidR="00CC2A85">
        <w:t xml:space="preserve">still </w:t>
      </w:r>
      <w:r w:rsidR="00663DFD" w:rsidRPr="00A84BD3">
        <w:t xml:space="preserve">facing </w:t>
      </w:r>
      <w:r w:rsidR="00CC2A85">
        <w:t>paucity of</w:t>
      </w:r>
      <w:r w:rsidR="00663DFD" w:rsidRPr="00A84BD3">
        <w:t xml:space="preserve"> evidence, which is either lacking, </w:t>
      </w:r>
      <w:proofErr w:type="gramStart"/>
      <w:r w:rsidR="00663DFD" w:rsidRPr="00A84BD3">
        <w:t>fragmented</w:t>
      </w:r>
      <w:proofErr w:type="gramEnd"/>
      <w:r w:rsidR="00663DFD" w:rsidRPr="00A84BD3">
        <w:t xml:space="preserve"> or outdated</w:t>
      </w:r>
      <w:r w:rsidR="00452C65">
        <w:t xml:space="preserve"> (</w:t>
      </w:r>
      <w:r w:rsidR="00452C65" w:rsidRPr="00B60658">
        <w:rPr>
          <w:rFonts w:asciiTheme="minorBidi" w:hAnsiTheme="minorBidi"/>
        </w:rPr>
        <w:t>Sahay</w:t>
      </w:r>
      <w:r w:rsidR="00452C65">
        <w:rPr>
          <w:rFonts w:asciiTheme="minorBidi" w:hAnsiTheme="minorBidi"/>
        </w:rPr>
        <w:t xml:space="preserve"> et al 2020</w:t>
      </w:r>
      <w:r w:rsidR="00452C65">
        <w:t>)</w:t>
      </w:r>
      <w:r w:rsidR="00663DFD" w:rsidRPr="00A84BD3">
        <w:t xml:space="preserve">. </w:t>
      </w:r>
    </w:p>
    <w:p w14:paraId="7756D7C5" w14:textId="77777777" w:rsidR="00DE70C7" w:rsidRDefault="00DE70C7" w:rsidP="00937322">
      <w:pPr>
        <w:rPr>
          <w:color w:val="131413"/>
        </w:rPr>
      </w:pPr>
    </w:p>
    <w:p w14:paraId="463688C0" w14:textId="17115AEE" w:rsidR="00D5051A" w:rsidRDefault="00BC2845" w:rsidP="00BC2845">
      <w:r>
        <w:t xml:space="preserve">This work builds on the global </w:t>
      </w:r>
      <w:proofErr w:type="gramStart"/>
      <w:r>
        <w:t>effort, and</w:t>
      </w:r>
      <w:proofErr w:type="gramEnd"/>
      <w:r>
        <w:t xml:space="preserve"> is a contribution to the ongoing discourse on the need for evidence to guide policies and actions in achieving lives of dignity and good health for all “Leaving No One Behind”. It tries to answer a specific question:</w:t>
      </w:r>
      <w:r w:rsidR="00FF68E3">
        <w:t xml:space="preserve"> “</w:t>
      </w:r>
      <w:r w:rsidR="00FF68E3" w:rsidRPr="00FF3E55">
        <w:rPr>
          <w:b/>
          <w:bCs/>
        </w:rPr>
        <w:t xml:space="preserve">how can countries build an </w:t>
      </w:r>
      <w:r w:rsidR="00DE70C7">
        <w:rPr>
          <w:b/>
          <w:bCs/>
        </w:rPr>
        <w:t>information system</w:t>
      </w:r>
      <w:r w:rsidR="00FF68E3" w:rsidRPr="00FF3E55">
        <w:rPr>
          <w:b/>
          <w:bCs/>
        </w:rPr>
        <w:t xml:space="preserve"> </w:t>
      </w:r>
      <w:r w:rsidR="00FF3E55">
        <w:rPr>
          <w:b/>
          <w:bCs/>
        </w:rPr>
        <w:t>capable of providing</w:t>
      </w:r>
      <w:r w:rsidR="00FF68E3" w:rsidRPr="00FF3E55">
        <w:rPr>
          <w:b/>
          <w:bCs/>
        </w:rPr>
        <w:t xml:space="preserve"> evidence for guiding </w:t>
      </w:r>
      <w:r w:rsidR="0069231A" w:rsidRPr="00FF3E55">
        <w:rPr>
          <w:b/>
          <w:bCs/>
        </w:rPr>
        <w:t xml:space="preserve">fair </w:t>
      </w:r>
      <w:r w:rsidR="00FF68E3" w:rsidRPr="00FF3E55">
        <w:rPr>
          <w:b/>
          <w:bCs/>
        </w:rPr>
        <w:t>policies and actions</w:t>
      </w:r>
      <w:r w:rsidR="0069231A">
        <w:t>?</w:t>
      </w:r>
      <w:r w:rsidR="00FF68E3">
        <w:t xml:space="preserve">” </w:t>
      </w:r>
    </w:p>
    <w:p w14:paraId="64FD5FFD" w14:textId="77777777" w:rsidR="00BC2845" w:rsidRDefault="00BC2845" w:rsidP="00BC2845"/>
    <w:p w14:paraId="46854605" w14:textId="68952EDF" w:rsidR="009A0A5C" w:rsidRDefault="00544166" w:rsidP="003D5A98">
      <w:r>
        <w:t>Th</w:t>
      </w:r>
      <w:r w:rsidR="009D520E">
        <w:t xml:space="preserve">is work is </w:t>
      </w:r>
      <w:r w:rsidR="006D77ED">
        <w:t>a collaborative effort between the Faculty of Health Sciences in The American University of Beirut (FSH-AUB) and the Social Research Center of the American University in Cairo (SRC-AUC) with support from the I</w:t>
      </w:r>
      <w:r w:rsidR="006D77ED" w:rsidRPr="006D77ED">
        <w:t>nternational Development Research Centre</w:t>
      </w:r>
      <w:r w:rsidR="006D77ED">
        <w:t xml:space="preserve"> (IDRC)</w:t>
      </w:r>
      <w:r w:rsidR="00464060">
        <w:t xml:space="preserve"> of </w:t>
      </w:r>
      <w:r w:rsidR="00464060">
        <w:lastRenderedPageBreak/>
        <w:t>Canada</w:t>
      </w:r>
      <w:r w:rsidR="006D77ED">
        <w:t>. Th</w:t>
      </w:r>
      <w:r w:rsidR="00785E47">
        <w:t xml:space="preserve">e project </w:t>
      </w:r>
      <w:r w:rsidR="00E37DC0">
        <w:t xml:space="preserve">has three phases with an overall </w:t>
      </w:r>
      <w:r w:rsidR="00785E47">
        <w:t xml:space="preserve">aim </w:t>
      </w:r>
      <w:r w:rsidR="00E37DC0">
        <w:t>of</w:t>
      </w:r>
      <w:r w:rsidR="00785E47">
        <w:t xml:space="preserve"> </w:t>
      </w:r>
      <w:r w:rsidR="009D520E">
        <w:rPr>
          <w:sz w:val="23"/>
          <w:szCs w:val="23"/>
        </w:rPr>
        <w:t>strengthen</w:t>
      </w:r>
      <w:r w:rsidR="00785E47">
        <w:rPr>
          <w:sz w:val="23"/>
          <w:szCs w:val="23"/>
        </w:rPr>
        <w:t>ing</w:t>
      </w:r>
      <w:r>
        <w:rPr>
          <w:sz w:val="23"/>
          <w:szCs w:val="23"/>
        </w:rPr>
        <w:t xml:space="preserve"> the</w:t>
      </w:r>
      <w:r w:rsidR="00F81BED">
        <w:rPr>
          <w:sz w:val="23"/>
          <w:szCs w:val="23"/>
        </w:rPr>
        <w:t xml:space="preserve"> whole of government commitment </w:t>
      </w:r>
      <w:r w:rsidR="00634642">
        <w:rPr>
          <w:sz w:val="23"/>
          <w:szCs w:val="23"/>
        </w:rPr>
        <w:t xml:space="preserve">in </w:t>
      </w:r>
      <w:r w:rsidR="00785E47">
        <w:rPr>
          <w:sz w:val="23"/>
          <w:szCs w:val="23"/>
        </w:rPr>
        <w:t>Arab</w:t>
      </w:r>
      <w:r w:rsidR="00634642">
        <w:rPr>
          <w:sz w:val="23"/>
          <w:szCs w:val="23"/>
        </w:rPr>
        <w:t xml:space="preserve"> </w:t>
      </w:r>
      <w:r w:rsidR="003D1E50">
        <w:rPr>
          <w:sz w:val="23"/>
          <w:szCs w:val="23"/>
        </w:rPr>
        <w:t>countries</w:t>
      </w:r>
      <w:r w:rsidR="00634642">
        <w:rPr>
          <w:sz w:val="23"/>
          <w:szCs w:val="23"/>
        </w:rPr>
        <w:t xml:space="preserve"> </w:t>
      </w:r>
      <w:r w:rsidR="00F81BED">
        <w:rPr>
          <w:sz w:val="23"/>
          <w:szCs w:val="23"/>
        </w:rPr>
        <w:t xml:space="preserve">to </w:t>
      </w:r>
      <w:r w:rsidR="00785E47">
        <w:rPr>
          <w:sz w:val="23"/>
          <w:szCs w:val="23"/>
        </w:rPr>
        <w:t>improve</w:t>
      </w:r>
      <w:r w:rsidR="00F81BED">
        <w:rPr>
          <w:sz w:val="23"/>
          <w:szCs w:val="23"/>
        </w:rPr>
        <w:t xml:space="preserve"> health</w:t>
      </w:r>
      <w:r w:rsidR="00785E47">
        <w:rPr>
          <w:sz w:val="23"/>
          <w:szCs w:val="23"/>
        </w:rPr>
        <w:t xml:space="preserve"> and promote health</w:t>
      </w:r>
      <w:r w:rsidR="00F81BED">
        <w:rPr>
          <w:sz w:val="23"/>
          <w:szCs w:val="23"/>
        </w:rPr>
        <w:t xml:space="preserve"> inequit</w:t>
      </w:r>
      <w:r w:rsidR="00785E47">
        <w:rPr>
          <w:sz w:val="23"/>
          <w:szCs w:val="23"/>
        </w:rPr>
        <w:t>y</w:t>
      </w:r>
      <w:r w:rsidR="00F81BED">
        <w:rPr>
          <w:sz w:val="23"/>
          <w:szCs w:val="23"/>
        </w:rPr>
        <w:t xml:space="preserve">, </w:t>
      </w:r>
      <w:r w:rsidR="00785E47">
        <w:rPr>
          <w:sz w:val="23"/>
          <w:szCs w:val="23"/>
        </w:rPr>
        <w:t xml:space="preserve">as well as </w:t>
      </w:r>
      <w:r w:rsidR="00F81BED">
        <w:rPr>
          <w:sz w:val="23"/>
          <w:szCs w:val="23"/>
        </w:rPr>
        <w:t>inform integrated social policies and effective program level implementation</w:t>
      </w:r>
      <w:r>
        <w:rPr>
          <w:sz w:val="23"/>
          <w:szCs w:val="23"/>
        </w:rPr>
        <w:t xml:space="preserve">. </w:t>
      </w:r>
      <w:r w:rsidR="00785E47">
        <w:t>This background paper</w:t>
      </w:r>
      <w:r w:rsidR="00E37DC0">
        <w:t>, presenting the findings of the first phase</w:t>
      </w:r>
      <w:r w:rsidR="00D06DBE">
        <w:t>,</w:t>
      </w:r>
      <w:r w:rsidR="00E37DC0">
        <w:t xml:space="preserve"> </w:t>
      </w:r>
      <w:r w:rsidR="00785E47">
        <w:t>is a</w:t>
      </w:r>
      <w:r w:rsidR="009D520E">
        <w:t xml:space="preserve"> synthesis of </w:t>
      </w:r>
      <w:r w:rsidR="00324C50">
        <w:t>the</w:t>
      </w:r>
      <w:r w:rsidR="009D520E">
        <w:t xml:space="preserve"> global literature to understand the current HIS and the </w:t>
      </w:r>
      <w:r w:rsidR="000D6F19">
        <w:t>drivers</w:t>
      </w:r>
      <w:r w:rsidR="009D520E">
        <w:t xml:space="preserve"> for reform</w:t>
      </w:r>
      <w:r w:rsidR="00785E47">
        <w:t>. It follows a systematic approach for conceptualizing</w:t>
      </w:r>
      <w:r w:rsidR="00324C50">
        <w:t xml:space="preserve"> the requested reform and the necessary indicators and measures that make health </w:t>
      </w:r>
      <w:r w:rsidR="00785E47">
        <w:t xml:space="preserve">priorities and health </w:t>
      </w:r>
      <w:r w:rsidR="00324C50">
        <w:t>inequalit</w:t>
      </w:r>
      <w:r w:rsidR="00785E47">
        <w:t>y priorities</w:t>
      </w:r>
      <w:r w:rsidR="00324C50">
        <w:t xml:space="preserve"> evident and link </w:t>
      </w:r>
      <w:r w:rsidR="00785E47">
        <w:t>them</w:t>
      </w:r>
      <w:r w:rsidR="00324C50">
        <w:t xml:space="preserve"> to their root </w:t>
      </w:r>
      <w:r w:rsidR="00600971">
        <w:t xml:space="preserve">structural </w:t>
      </w:r>
      <w:r w:rsidR="00324C50">
        <w:t>causes</w:t>
      </w:r>
      <w:r w:rsidR="00785E47">
        <w:t xml:space="preserve">. </w:t>
      </w:r>
      <w:r w:rsidR="00992941">
        <w:rPr>
          <w:sz w:val="23"/>
          <w:szCs w:val="23"/>
        </w:rPr>
        <w:t xml:space="preserve">The </w:t>
      </w:r>
      <w:r w:rsidR="00464060">
        <w:rPr>
          <w:sz w:val="23"/>
          <w:szCs w:val="23"/>
        </w:rPr>
        <w:t>document</w:t>
      </w:r>
      <w:r w:rsidR="00992941">
        <w:rPr>
          <w:sz w:val="23"/>
          <w:szCs w:val="23"/>
        </w:rPr>
        <w:t xml:space="preserve"> aim</w:t>
      </w:r>
      <w:r w:rsidR="00785E47">
        <w:rPr>
          <w:sz w:val="23"/>
          <w:szCs w:val="23"/>
        </w:rPr>
        <w:t>s</w:t>
      </w:r>
      <w:r w:rsidR="00992941">
        <w:rPr>
          <w:sz w:val="23"/>
          <w:szCs w:val="23"/>
        </w:rPr>
        <w:t xml:space="preserve"> at supporting the development of an information system that makes visible the unfairness of health inequalities and that can be used to inform policies and guide effective program implementation.</w:t>
      </w:r>
      <w:r w:rsidR="00992941">
        <w:t xml:space="preserve"> The</w:t>
      </w:r>
      <w:r w:rsidR="00992941" w:rsidRPr="00957399">
        <w:t xml:space="preserve"> </w:t>
      </w:r>
      <w:r w:rsidR="00992941">
        <w:t xml:space="preserve">work realizes the complexity of such information system and the numerous necessary </w:t>
      </w:r>
      <w:r w:rsidR="000A30BB">
        <w:t>components;</w:t>
      </w:r>
      <w:r w:rsidR="00B12F52">
        <w:t xml:space="preserve"> thus</w:t>
      </w:r>
      <w:r w:rsidR="004F32C4">
        <w:t>,</w:t>
      </w:r>
      <w:r w:rsidR="00B12F52">
        <w:t xml:space="preserve"> the </w:t>
      </w:r>
      <w:r w:rsidR="00464060">
        <w:t>final output</w:t>
      </w:r>
      <w:r w:rsidR="00936EB1">
        <w:t xml:space="preserve"> of the coming two phases</w:t>
      </w:r>
      <w:r w:rsidR="00464060">
        <w:t xml:space="preserve"> </w:t>
      </w:r>
      <w:r w:rsidR="00785E47">
        <w:t xml:space="preserve">is </w:t>
      </w:r>
      <w:r w:rsidR="00464060">
        <w:t>on</w:t>
      </w:r>
      <w:r w:rsidR="009D7DEA">
        <w:t xml:space="preserve"> the identification of </w:t>
      </w:r>
      <w:r w:rsidR="00464060">
        <w:t>a</w:t>
      </w:r>
      <w:r w:rsidR="00D42C0B">
        <w:t xml:space="preserve"> </w:t>
      </w:r>
      <w:r w:rsidR="009D7DEA">
        <w:t xml:space="preserve">core </w:t>
      </w:r>
      <w:r w:rsidR="00936EB1">
        <w:t>basket</w:t>
      </w:r>
      <w:r w:rsidR="009D7DEA">
        <w:t xml:space="preserve"> of indicators and measures</w:t>
      </w:r>
      <w:r w:rsidR="00C56502">
        <w:t xml:space="preserve"> </w:t>
      </w:r>
      <w:r w:rsidR="00246F78">
        <w:t>on national and program le</w:t>
      </w:r>
      <w:r w:rsidR="00464060">
        <w:t>vels, as well as on applying the new package in supporting implementation of the SRH programs in Jordan and Morocco.</w:t>
      </w:r>
    </w:p>
    <w:p w14:paraId="6ED42F8C" w14:textId="77777777" w:rsidR="009A0A5C" w:rsidRDefault="009A0A5C" w:rsidP="003D5A98"/>
    <w:p w14:paraId="6090C997" w14:textId="0B53C1F5" w:rsidR="00411512" w:rsidRDefault="00AF2DC1" w:rsidP="00D06DBE">
      <w:r>
        <w:t xml:space="preserve">This </w:t>
      </w:r>
      <w:r w:rsidR="009A0A5C">
        <w:t xml:space="preserve">background </w:t>
      </w:r>
      <w:r w:rsidR="00464060">
        <w:t>document serves the overall</w:t>
      </w:r>
      <w:r>
        <w:t xml:space="preserve"> </w:t>
      </w:r>
      <w:r w:rsidR="003D5A98">
        <w:t>aim</w:t>
      </w:r>
      <w:r w:rsidR="00785E47">
        <w:t xml:space="preserve"> </w:t>
      </w:r>
      <w:r w:rsidR="00464060">
        <w:t>of</w:t>
      </w:r>
      <w:r w:rsidR="003D5A98">
        <w:t xml:space="preserve"> giving </w:t>
      </w:r>
      <w:r w:rsidR="00B73977" w:rsidRPr="00B73977">
        <w:t xml:space="preserve">visibility to </w:t>
      </w:r>
      <w:r w:rsidR="00B73977">
        <w:t xml:space="preserve">the need for a fair information </w:t>
      </w:r>
      <w:r w:rsidR="00464060">
        <w:t>system</w:t>
      </w:r>
      <w:r w:rsidR="00D06DBE">
        <w:t xml:space="preserve">. </w:t>
      </w:r>
      <w:r w:rsidR="00411512" w:rsidRPr="00931071">
        <w:t xml:space="preserve">The </w:t>
      </w:r>
      <w:r w:rsidR="00411512">
        <w:t>background document</w:t>
      </w:r>
      <w:r w:rsidR="00411512" w:rsidRPr="00931071">
        <w:t xml:space="preserve"> includes </w:t>
      </w:r>
      <w:r w:rsidR="00411512">
        <w:t>the following</w:t>
      </w:r>
      <w:r w:rsidR="00411512" w:rsidRPr="00931071">
        <w:t xml:space="preserve"> parts</w:t>
      </w:r>
      <w:r w:rsidR="00411512">
        <w:t>:</w:t>
      </w:r>
    </w:p>
    <w:p w14:paraId="2D9291AE" w14:textId="77777777" w:rsidR="00411512" w:rsidRDefault="00411512" w:rsidP="00411512">
      <w:pPr>
        <w:pStyle w:val="ListParagraph"/>
        <w:numPr>
          <w:ilvl w:val="0"/>
          <w:numId w:val="13"/>
        </w:numPr>
      </w:pPr>
      <w:r>
        <w:t xml:space="preserve">Part One presents the </w:t>
      </w:r>
      <w:r w:rsidRPr="001B2850">
        <w:t xml:space="preserve">shift in </w:t>
      </w:r>
      <w:r>
        <w:t>conceptualizing</w:t>
      </w:r>
      <w:r w:rsidRPr="001B2850">
        <w:t xml:space="preserve"> health and information for health</w:t>
      </w:r>
      <w:r>
        <w:t xml:space="preserve">. </w:t>
      </w:r>
    </w:p>
    <w:p w14:paraId="6AEB824C" w14:textId="246D7668" w:rsidR="00411512" w:rsidRDefault="00411512" w:rsidP="00411512">
      <w:pPr>
        <w:pStyle w:val="ListParagraph"/>
        <w:numPr>
          <w:ilvl w:val="0"/>
          <w:numId w:val="13"/>
        </w:numPr>
      </w:pPr>
      <w:r w:rsidRPr="00931071">
        <w:t xml:space="preserve">Part </w:t>
      </w:r>
      <w:r>
        <w:t xml:space="preserve">Two: has </w:t>
      </w:r>
      <w:r w:rsidR="00936EB1">
        <w:t>three</w:t>
      </w:r>
      <w:r>
        <w:t xml:space="preserve"> sections. The first describes the gaps in the global health information systems. The second section illustrates the gaps in the national information systems of the Arab region. The third section discusses the challenges in proposing an equity sensitive information system for health. </w:t>
      </w:r>
    </w:p>
    <w:p w14:paraId="6F6E66B8" w14:textId="78B5907F" w:rsidR="00A84832" w:rsidRDefault="00411512" w:rsidP="00A71B47">
      <w:pPr>
        <w:pStyle w:val="ListParagraph"/>
        <w:numPr>
          <w:ilvl w:val="0"/>
          <w:numId w:val="13"/>
        </w:numPr>
        <w:ind w:left="360"/>
      </w:pPr>
      <w:r>
        <w:t xml:space="preserve">Part Three: sets the ground for </w:t>
      </w:r>
      <w:r w:rsidR="00936EB1">
        <w:t xml:space="preserve">rethink an information system for health </w:t>
      </w:r>
    </w:p>
    <w:p w14:paraId="68754169" w14:textId="77777777" w:rsidR="00936EB1" w:rsidRDefault="00936EB1" w:rsidP="00B26168">
      <w:pPr>
        <w:pStyle w:val="ListParagraph"/>
        <w:ind w:left="360"/>
      </w:pPr>
    </w:p>
    <w:p w14:paraId="115CE62B" w14:textId="51F85692" w:rsidR="00A84832" w:rsidRDefault="00A84832" w:rsidP="00A84832">
      <w:pPr>
        <w:ind w:left="360"/>
      </w:pPr>
      <w:r>
        <w:t xml:space="preserve">The background </w:t>
      </w:r>
      <w:r w:rsidR="005F1E7E">
        <w:t>document</w:t>
      </w:r>
      <w:r>
        <w:t xml:space="preserve"> has </w:t>
      </w:r>
      <w:r w:rsidR="00A52845">
        <w:t>2</w:t>
      </w:r>
      <w:r>
        <w:t xml:space="preserve"> </w:t>
      </w:r>
      <w:r w:rsidR="005F1E7E">
        <w:t>annexes</w:t>
      </w:r>
      <w:r>
        <w:t>:</w:t>
      </w:r>
    </w:p>
    <w:p w14:paraId="5DD9FC3E" w14:textId="77777777" w:rsidR="00A52845" w:rsidRDefault="009A4170" w:rsidP="00A84832">
      <w:pPr>
        <w:pStyle w:val="ListParagraph"/>
        <w:numPr>
          <w:ilvl w:val="0"/>
          <w:numId w:val="38"/>
        </w:numPr>
      </w:pPr>
      <w:r>
        <w:t>Annex</w:t>
      </w:r>
      <w:r w:rsidR="00A84832">
        <w:t xml:space="preserve"> A presents the methodology </w:t>
      </w:r>
    </w:p>
    <w:p w14:paraId="42905171" w14:textId="6C7CE4C7" w:rsidR="00A84832" w:rsidRDefault="00A52845" w:rsidP="00A84832">
      <w:pPr>
        <w:pStyle w:val="ListParagraph"/>
        <w:numPr>
          <w:ilvl w:val="0"/>
          <w:numId w:val="38"/>
        </w:numPr>
      </w:pPr>
      <w:r>
        <w:t xml:space="preserve">Annex B displays the </w:t>
      </w:r>
      <w:r w:rsidR="00A84832">
        <w:t>data sources</w:t>
      </w:r>
      <w:r w:rsidR="0023073E">
        <w:t xml:space="preserve"> </w:t>
      </w:r>
    </w:p>
    <w:p w14:paraId="2EB00771" w14:textId="77777777" w:rsidR="00F2740B" w:rsidRDefault="00F2740B">
      <w:pPr>
        <w:spacing w:line="240" w:lineRule="auto"/>
        <w:rPr>
          <w:rFonts w:eastAsiaTheme="majorEastAsia"/>
          <w:b/>
          <w:bCs/>
          <w:color w:val="2F5496" w:themeColor="accent5" w:themeShade="BF"/>
          <w:sz w:val="32"/>
          <w:szCs w:val="32"/>
        </w:rPr>
      </w:pPr>
      <w:bookmarkStart w:id="30" w:name="_Toc69739849"/>
      <w:r>
        <w:br w:type="page"/>
      </w:r>
    </w:p>
    <w:p w14:paraId="686AB8BA" w14:textId="25E2A375" w:rsidR="002D6638" w:rsidRDefault="002D6638" w:rsidP="004A269E">
      <w:pPr>
        <w:pStyle w:val="Heading1"/>
      </w:pPr>
      <w:bookmarkStart w:id="31" w:name="_Toc69739850"/>
      <w:bookmarkStart w:id="32" w:name="_Toc72945486"/>
      <w:bookmarkStart w:id="33" w:name="_Toc72949602"/>
      <w:bookmarkStart w:id="34" w:name="_Toc72950098"/>
      <w:bookmarkStart w:id="35" w:name="_Toc72999755"/>
      <w:bookmarkStart w:id="36" w:name="_Toc81138422"/>
      <w:bookmarkStart w:id="37" w:name="_Toc83818767"/>
      <w:bookmarkStart w:id="38" w:name="_Toc83819379"/>
      <w:bookmarkStart w:id="39" w:name="_Toc84408404"/>
      <w:bookmarkEnd w:id="30"/>
      <w:r w:rsidRPr="00CB3F09">
        <w:lastRenderedPageBreak/>
        <w:t xml:space="preserve">Part </w:t>
      </w:r>
      <w:r w:rsidR="00840762">
        <w:t>One</w:t>
      </w:r>
      <w:r w:rsidRPr="00CB3F09">
        <w:t xml:space="preserve">: </w:t>
      </w:r>
      <w:r w:rsidR="006C7679">
        <w:t xml:space="preserve">Paradigm shift in thinking health and </w:t>
      </w:r>
      <w:bookmarkEnd w:id="31"/>
      <w:r w:rsidR="00202F7D">
        <w:t>information for health</w:t>
      </w:r>
      <w:bookmarkEnd w:id="32"/>
      <w:bookmarkEnd w:id="33"/>
      <w:bookmarkEnd w:id="34"/>
      <w:bookmarkEnd w:id="35"/>
      <w:bookmarkEnd w:id="36"/>
      <w:bookmarkEnd w:id="37"/>
      <w:bookmarkEnd w:id="38"/>
      <w:bookmarkEnd w:id="39"/>
      <w:r>
        <w:t xml:space="preserve"> </w:t>
      </w:r>
    </w:p>
    <w:p w14:paraId="02A595FA" w14:textId="39AC138C" w:rsidR="00D55302" w:rsidRDefault="00D55302" w:rsidP="00D55302">
      <w:r>
        <w:t>This part reviews the evolution of thinking in relation to health</w:t>
      </w:r>
      <w:r w:rsidR="0062619C">
        <w:t>, its determinants, the actors for health</w:t>
      </w:r>
      <w:r w:rsidR="00A1492D">
        <w:t xml:space="preserve"> and</w:t>
      </w:r>
      <w:r w:rsidR="0062619C">
        <w:t xml:space="preserve"> the evidence base for health</w:t>
      </w:r>
      <w:r w:rsidR="00AA0F8D">
        <w:t xml:space="preserve"> (Annex A)</w:t>
      </w:r>
      <w:r w:rsidR="0062619C">
        <w:t xml:space="preserve">. It illustrates how this evolution prompted the current drive for an information system for health. </w:t>
      </w:r>
    </w:p>
    <w:p w14:paraId="2E3E8BC0" w14:textId="77777777" w:rsidR="0062619C" w:rsidRPr="00D55302" w:rsidRDefault="0062619C" w:rsidP="00D55302"/>
    <w:p w14:paraId="70FC4FC1" w14:textId="610BCD7E" w:rsidR="00CB3F09" w:rsidRPr="0006069F" w:rsidRDefault="00AA508A" w:rsidP="00AE0BE6">
      <w:pPr>
        <w:pStyle w:val="Heading2"/>
      </w:pPr>
      <w:bookmarkStart w:id="40" w:name="_Toc69739851"/>
      <w:bookmarkStart w:id="41" w:name="_Toc72945487"/>
      <w:bookmarkStart w:id="42" w:name="_Toc72949603"/>
      <w:bookmarkStart w:id="43" w:name="_Toc72950099"/>
      <w:bookmarkStart w:id="44" w:name="_Toc72999756"/>
      <w:bookmarkStart w:id="45" w:name="_Toc81138423"/>
      <w:bookmarkStart w:id="46" w:name="_Toc83818768"/>
      <w:bookmarkStart w:id="47" w:name="_Toc83819380"/>
      <w:bookmarkStart w:id="48" w:name="_Toc84408405"/>
      <w:r>
        <w:t>I</w:t>
      </w:r>
      <w:r w:rsidR="00AE0BE6">
        <w:t>.1</w:t>
      </w:r>
      <w:r w:rsidR="00705CB8">
        <w:t>.</w:t>
      </w:r>
      <w:r w:rsidR="0006069F" w:rsidRPr="0006069F">
        <w:t xml:space="preserve"> The </w:t>
      </w:r>
      <w:r w:rsidR="0062619C">
        <w:t>value of</w:t>
      </w:r>
      <w:r w:rsidR="0006069F" w:rsidRPr="0006069F">
        <w:t xml:space="preserve"> health </w:t>
      </w:r>
      <w:r w:rsidR="0062619C">
        <w:t>a</w:t>
      </w:r>
      <w:r w:rsidR="0006069F" w:rsidRPr="0006069F">
        <w:t xml:space="preserve">s a right for </w:t>
      </w:r>
      <w:r w:rsidR="006C7679" w:rsidRPr="0006069F">
        <w:t>everyone</w:t>
      </w:r>
      <w:r w:rsidR="00672C0E">
        <w:t xml:space="preserve"> and </w:t>
      </w:r>
      <w:bookmarkEnd w:id="40"/>
      <w:r w:rsidR="00E2773F">
        <w:t>a social goal</w:t>
      </w:r>
      <w:bookmarkEnd w:id="41"/>
      <w:bookmarkEnd w:id="42"/>
      <w:bookmarkEnd w:id="43"/>
      <w:bookmarkEnd w:id="44"/>
      <w:bookmarkEnd w:id="45"/>
      <w:r w:rsidR="0062619C">
        <w:t xml:space="preserve"> is well established</w:t>
      </w:r>
      <w:bookmarkEnd w:id="46"/>
      <w:bookmarkEnd w:id="47"/>
      <w:bookmarkEnd w:id="48"/>
    </w:p>
    <w:p w14:paraId="6F746C5E" w14:textId="0777DED2" w:rsidR="005F6252" w:rsidRDefault="000B1121" w:rsidP="00245B1E">
      <w:r w:rsidRPr="000B1121">
        <w:t xml:space="preserve">This </w:t>
      </w:r>
      <w:r w:rsidR="00960D4C">
        <w:t>value</w:t>
      </w:r>
      <w:r w:rsidRPr="000B1121">
        <w:t xml:space="preserve"> </w:t>
      </w:r>
      <w:r w:rsidR="0062619C">
        <w:t xml:space="preserve">of health </w:t>
      </w:r>
      <w:r w:rsidRPr="000B1121">
        <w:t xml:space="preserve">has been </w:t>
      </w:r>
      <w:r w:rsidR="00960D4C" w:rsidRPr="000B1121">
        <w:t>engrained</w:t>
      </w:r>
      <w:r w:rsidRPr="000B1121">
        <w:t xml:space="preserve"> in the </w:t>
      </w:r>
      <w:r w:rsidR="00960D4C">
        <w:t>heritages</w:t>
      </w:r>
      <w:r w:rsidR="00960D4C" w:rsidRPr="000B1121">
        <w:t xml:space="preserve"> </w:t>
      </w:r>
      <w:r w:rsidRPr="000B1121">
        <w:t xml:space="preserve">of science and knowledge since ancient times. </w:t>
      </w:r>
      <w:r w:rsidR="005F6252" w:rsidRPr="005F6252">
        <w:t>When the WHO constitution was signed in 1946, the WHO stressed that health is a fundamental human right for all</w:t>
      </w:r>
      <w:r w:rsidR="0062619C">
        <w:t>. For the realization of health, t</w:t>
      </w:r>
      <w:r w:rsidR="005F6252" w:rsidRPr="005F6252">
        <w:t xml:space="preserve">he WHO called for a shift from the focus on curing diseases towards </w:t>
      </w:r>
      <w:r w:rsidR="0062619C">
        <w:t xml:space="preserve">encompassing promotion and prevention. </w:t>
      </w:r>
      <w:r w:rsidR="00C904C1">
        <w:t xml:space="preserve">Actions for health should target </w:t>
      </w:r>
      <w:r w:rsidR="0062619C">
        <w:t>p</w:t>
      </w:r>
      <w:r w:rsidR="005F6252" w:rsidRPr="005F6252">
        <w:t>reserving health or building the health potential through health promo</w:t>
      </w:r>
      <w:r w:rsidR="00245B1E">
        <w:t>tion and prevention of diseases</w:t>
      </w:r>
      <w:r w:rsidR="0062619C">
        <w:t xml:space="preserve">, as well as </w:t>
      </w:r>
      <w:r w:rsidR="005F6252" w:rsidRPr="005F6252">
        <w:t xml:space="preserve">protecting health through restoring health for the unhealthy through healthcare services. The new direction liberated the concept of health from the narrow continuum of disease and medicine to the WHO broader definition of health </w:t>
      </w:r>
      <w:r w:rsidR="0062619C">
        <w:t xml:space="preserve">articulated </w:t>
      </w:r>
      <w:r w:rsidR="005F6252" w:rsidRPr="005F6252">
        <w:t>in</w:t>
      </w:r>
      <w:r w:rsidR="005F6252">
        <w:t xml:space="preserve"> 1948 which came as a reminder of this value </w:t>
      </w:r>
      <w:r w:rsidR="0062619C">
        <w:t xml:space="preserve">of health </w:t>
      </w:r>
      <w:r w:rsidR="005F6252">
        <w:t>and frame</w:t>
      </w:r>
      <w:r w:rsidR="0062619C">
        <w:t>d</w:t>
      </w:r>
      <w:r w:rsidR="005F6252">
        <w:t xml:space="preserve"> health as “</w:t>
      </w:r>
      <w:r w:rsidR="005F6252" w:rsidRPr="005E4A21">
        <w:rPr>
          <w:b/>
          <w:bCs/>
          <w:i/>
          <w:iCs/>
        </w:rPr>
        <w:t>state of physical, mental and social well-being</w:t>
      </w:r>
      <w:r w:rsidR="005F6252">
        <w:t>”.</w:t>
      </w:r>
    </w:p>
    <w:p w14:paraId="036B57AC" w14:textId="77777777" w:rsidR="005F6252" w:rsidRDefault="005F6252" w:rsidP="005F6252"/>
    <w:p w14:paraId="4620599E" w14:textId="4835C9DB" w:rsidR="00A572DD" w:rsidRDefault="00960D4C" w:rsidP="008F62FD">
      <w:r>
        <w:t xml:space="preserve">In alignment, </w:t>
      </w:r>
      <w:r w:rsidR="006D03F0">
        <w:t xml:space="preserve">the </w:t>
      </w:r>
      <w:r w:rsidRPr="00960D4C">
        <w:t>Universal Declaration of Human Rights</w:t>
      </w:r>
      <w:r w:rsidR="008F62FD">
        <w:t xml:space="preserve"> (UDHR) in </w:t>
      </w:r>
      <w:r w:rsidRPr="00960D4C">
        <w:t>1948</w:t>
      </w:r>
      <w:r>
        <w:t xml:space="preserve"> stressed upon th</w:t>
      </w:r>
      <w:r w:rsidR="00C904C1">
        <w:t>e human right basis of health.</w:t>
      </w:r>
      <w:r>
        <w:t xml:space="preserve"> </w:t>
      </w:r>
      <w:r w:rsidRPr="00960D4C">
        <w:t>Article 25.1</w:t>
      </w:r>
      <w:r w:rsidR="00BF5DF7">
        <w:t>of the UDHR</w:t>
      </w:r>
      <w:r w:rsidRPr="00960D4C">
        <w:t xml:space="preserve"> </w:t>
      </w:r>
      <w:r>
        <w:t>spelled out clearly that “</w:t>
      </w:r>
      <w:r w:rsidRPr="005E4A21">
        <w:rPr>
          <w:b/>
          <w:bCs/>
          <w:i/>
          <w:iCs/>
        </w:rPr>
        <w:t>Everyone has the right to a standard of living adequate for the health and well-being of himself and of his family</w:t>
      </w:r>
      <w:r>
        <w:t xml:space="preserve">”. The </w:t>
      </w:r>
      <w:r w:rsidR="00BF5DF7">
        <w:t>UDHR</w:t>
      </w:r>
      <w:r>
        <w:t xml:space="preserve"> did not only define health </w:t>
      </w:r>
      <w:r w:rsidR="007A698B">
        <w:t xml:space="preserve">as a state of comprehensive well-being </w:t>
      </w:r>
      <w:r>
        <w:t xml:space="preserve">but has </w:t>
      </w:r>
      <w:r w:rsidR="007A698B">
        <w:t xml:space="preserve">spelled out clearly </w:t>
      </w:r>
      <w:r>
        <w:t>th</w:t>
      </w:r>
      <w:r w:rsidR="006D03F0">
        <w:t>e</w:t>
      </w:r>
      <w:r>
        <w:t xml:space="preserve"> interlinkages between health and </w:t>
      </w:r>
      <w:r w:rsidR="006D03F0">
        <w:t xml:space="preserve">the </w:t>
      </w:r>
      <w:r w:rsidR="00672C0E">
        <w:t xml:space="preserve">context </w:t>
      </w:r>
      <w:r>
        <w:t>in which people live.</w:t>
      </w:r>
      <w:r w:rsidR="005F6252">
        <w:t xml:space="preserve"> Furthermore, </w:t>
      </w:r>
      <w:r w:rsidR="00BF5DF7">
        <w:t>a</w:t>
      </w:r>
      <w:r w:rsidR="00BF5DF7" w:rsidRPr="00960D4C">
        <w:t>rticle 25.1</w:t>
      </w:r>
      <w:r w:rsidR="00BF5DF7">
        <w:t xml:space="preserve"> of the UDHR</w:t>
      </w:r>
      <w:r w:rsidR="00BF5DF7" w:rsidRPr="00960D4C">
        <w:t xml:space="preserve"> </w:t>
      </w:r>
      <w:r w:rsidR="005F6252" w:rsidRPr="005F6252">
        <w:t xml:space="preserve">pointed out </w:t>
      </w:r>
      <w:r w:rsidR="005F6252">
        <w:t>to the</w:t>
      </w:r>
      <w:r w:rsidR="005F6252" w:rsidRPr="005F6252">
        <w:t xml:space="preserve"> vulnerable groups who need attention</w:t>
      </w:r>
      <w:r w:rsidR="005F6252">
        <w:t xml:space="preserve"> and stated that</w:t>
      </w:r>
      <w:r>
        <w:t xml:space="preserve"> </w:t>
      </w:r>
      <w:r w:rsidR="005F6252">
        <w:t>“</w:t>
      </w:r>
      <w:r w:rsidR="005A5FDC" w:rsidRPr="005E4A21">
        <w:rPr>
          <w:b/>
          <w:bCs/>
          <w:i/>
          <w:iCs/>
        </w:rPr>
        <w:t>Motherhood and childhood are entitled to special care and assistance</w:t>
      </w:r>
      <w:proofErr w:type="gramStart"/>
      <w:r w:rsidR="00764BEB">
        <w:rPr>
          <w:b/>
          <w:bCs/>
          <w:i/>
          <w:iCs/>
        </w:rPr>
        <w:t>…..</w:t>
      </w:r>
      <w:proofErr w:type="gramEnd"/>
      <w:r w:rsidR="005A5FDC" w:rsidRPr="005E4A21">
        <w:rPr>
          <w:b/>
          <w:bCs/>
          <w:i/>
          <w:iCs/>
        </w:rPr>
        <w:t xml:space="preserve"> All children, whether born in or out of wedlock, shall enjoy the same social protection</w:t>
      </w:r>
      <w:r w:rsidR="005F6252">
        <w:t>”</w:t>
      </w:r>
      <w:r w:rsidR="005A5FDC" w:rsidRPr="005F6252">
        <w:t xml:space="preserve">. </w:t>
      </w:r>
      <w:r w:rsidR="005F6252" w:rsidRPr="005F6252">
        <w:t>Th</w:t>
      </w:r>
      <w:r w:rsidR="00BF5DF7">
        <w:t xml:space="preserve">ese interlinkages </w:t>
      </w:r>
      <w:r w:rsidR="005F6252" w:rsidRPr="005F6252">
        <w:t>w</w:t>
      </w:r>
      <w:r w:rsidR="00BF5DF7">
        <w:t>ere</w:t>
      </w:r>
      <w:r w:rsidR="005F6252" w:rsidRPr="005F6252">
        <w:t xml:space="preserve"> confirmed in 1966 when the Committee on Economic, Social and Cultural Rights defined the </w:t>
      </w:r>
      <w:r w:rsidR="002C3DBC">
        <w:t>R</w:t>
      </w:r>
      <w:r w:rsidR="005F6252" w:rsidRPr="005F6252">
        <w:t xml:space="preserve">ight to </w:t>
      </w:r>
      <w:r w:rsidR="002C3DBC">
        <w:t>H</w:t>
      </w:r>
      <w:r w:rsidR="005F6252" w:rsidRPr="005F6252">
        <w:t>ealth</w:t>
      </w:r>
      <w:r w:rsidR="005F6252">
        <w:t xml:space="preserve"> as “</w:t>
      </w:r>
      <w:r w:rsidR="005F6252" w:rsidRPr="005E4A21">
        <w:rPr>
          <w:b/>
          <w:bCs/>
          <w:i/>
          <w:iCs/>
        </w:rPr>
        <w:t>A right to the enjoyment of a variety of facilities, goods, services and conditions necessary for the realization of the highest attainable standard of health</w:t>
      </w:r>
      <w:r w:rsidR="005F6252" w:rsidRPr="005F6252">
        <w:t>”</w:t>
      </w:r>
      <w:r w:rsidR="005F6252">
        <w:t xml:space="preserve">. </w:t>
      </w:r>
      <w:r w:rsidR="005F6252" w:rsidRPr="005F6252">
        <w:t>It has urged government</w:t>
      </w:r>
      <w:r w:rsidR="005E4A21">
        <w:t>s</w:t>
      </w:r>
      <w:r w:rsidR="005F6252" w:rsidRPr="005F6252">
        <w:t xml:space="preserve"> to adopt appropriate legislations, </w:t>
      </w:r>
      <w:proofErr w:type="gramStart"/>
      <w:r w:rsidR="005F6252" w:rsidRPr="005F6252">
        <w:t>policies</w:t>
      </w:r>
      <w:proofErr w:type="gramEnd"/>
      <w:r w:rsidR="005F6252" w:rsidRPr="005F6252">
        <w:t xml:space="preserve"> and programs, to ensure the realization of the Right to Health</w:t>
      </w:r>
      <w:r w:rsidR="0001416E">
        <w:t xml:space="preserve">. </w:t>
      </w:r>
    </w:p>
    <w:p w14:paraId="38FBFECD" w14:textId="77777777" w:rsidR="00A572DD" w:rsidRDefault="00A572DD" w:rsidP="008B1426"/>
    <w:p w14:paraId="067E5F06" w14:textId="7D44FA61" w:rsidR="008B2A50" w:rsidRDefault="0001416E" w:rsidP="00B34584">
      <w:r>
        <w:lastRenderedPageBreak/>
        <w:t>Since then</w:t>
      </w:r>
      <w:r w:rsidR="00676FB0">
        <w:t xml:space="preserve">, </w:t>
      </w:r>
      <w:r>
        <w:t>numerous</w:t>
      </w:r>
      <w:r w:rsidRPr="000B1121">
        <w:t xml:space="preserve"> global</w:t>
      </w:r>
      <w:r>
        <w:t>,</w:t>
      </w:r>
      <w:r w:rsidRPr="000B1121">
        <w:t xml:space="preserve"> </w:t>
      </w:r>
      <w:proofErr w:type="gramStart"/>
      <w:r w:rsidRPr="000B1121">
        <w:t>regional</w:t>
      </w:r>
      <w:proofErr w:type="gramEnd"/>
      <w:r w:rsidRPr="000B1121">
        <w:t xml:space="preserve"> </w:t>
      </w:r>
      <w:r>
        <w:t xml:space="preserve">and national landmarks devoted efforts to guide realizing these </w:t>
      </w:r>
      <w:r w:rsidR="00BF5DF7">
        <w:t>goals</w:t>
      </w:r>
      <w:r>
        <w:t xml:space="preserve">. </w:t>
      </w:r>
      <w:r w:rsidR="00B34584">
        <w:t xml:space="preserve">The new health perspective was revitalized by the landmark WHO and UNICEF international conference in Alma-Ata in 1978. The main goal of the conference was to discuss the urgent problem of providing people with the right to life and health. The participants stressed the responsibility that governments have for the health of their people. The conference underlined the importance of </w:t>
      </w:r>
      <w:r w:rsidR="002C3DBC">
        <w:t xml:space="preserve">the </w:t>
      </w:r>
      <w:r w:rsidR="00B34584">
        <w:t xml:space="preserve">social and economic development, as well as the political independence for completely realizing the </w:t>
      </w:r>
      <w:r w:rsidR="00BF5DF7">
        <w:t xml:space="preserve">goal </w:t>
      </w:r>
      <w:r w:rsidR="00B34584">
        <w:t xml:space="preserve">of health </w:t>
      </w:r>
      <w:r w:rsidR="00BF5DF7">
        <w:t>realization</w:t>
      </w:r>
      <w:r w:rsidR="00B34584">
        <w:t>.</w:t>
      </w:r>
      <w:r w:rsidR="00E168EE">
        <w:t xml:space="preserve"> </w:t>
      </w:r>
      <w:r w:rsidR="00B34584">
        <w:t>The triumph of the event was the adoption of the Alma-Ata Declaration</w:t>
      </w:r>
      <w:r w:rsidR="00391553">
        <w:t xml:space="preserve">, </w:t>
      </w:r>
      <w:r w:rsidR="00B34584">
        <w:t>the 20th century’s key health charter.</w:t>
      </w:r>
      <w:r w:rsidR="00ED392E">
        <w:t xml:space="preserve"> </w:t>
      </w:r>
      <w:r w:rsidR="008B1426">
        <w:t>Article I in the Alma Ata Declaration affirmed that “</w:t>
      </w:r>
      <w:r w:rsidR="008B1426">
        <w:rPr>
          <w:b/>
          <w:bCs/>
          <w:i/>
          <w:iCs/>
        </w:rPr>
        <w:t>h</w:t>
      </w:r>
      <w:r w:rsidR="008B1426" w:rsidRPr="008B1426">
        <w:rPr>
          <w:b/>
          <w:bCs/>
          <w:i/>
          <w:iCs/>
        </w:rPr>
        <w:t>ealth…is a fundamental human right and…… the attainment of the highest possible level of health is a most important world-wide social goal whose realization requires the action of many other social and economic sectors in addition to the health sector</w:t>
      </w:r>
      <w:r w:rsidR="008B1426">
        <w:t xml:space="preserve">”. </w:t>
      </w:r>
      <w:proofErr w:type="gramStart"/>
      <w:r w:rsidR="00F842F5">
        <w:t>Also</w:t>
      </w:r>
      <w:proofErr w:type="gramEnd"/>
      <w:r w:rsidR="00F842F5">
        <w:t xml:space="preserve"> Article 4 of the Alma Ata Declaration called for the involvement of all related sectors as key to promote health. </w:t>
      </w:r>
      <w:r w:rsidR="008B2A50">
        <w:t>The Alma-Ata Declaration had three major achievements: defining the goal “</w:t>
      </w:r>
      <w:r w:rsidR="008B2A50" w:rsidRPr="002D0817">
        <w:rPr>
          <w:b/>
          <w:bCs/>
          <w:i/>
          <w:iCs/>
        </w:rPr>
        <w:t>Health for All by the year 2000</w:t>
      </w:r>
      <w:r w:rsidR="008B2A50">
        <w:t xml:space="preserve">”, recognizing the need for </w:t>
      </w:r>
      <w:proofErr w:type="spellStart"/>
      <w:r w:rsidR="008B2A50">
        <w:t>interesectoral</w:t>
      </w:r>
      <w:proofErr w:type="spellEnd"/>
      <w:r w:rsidR="008B2A50">
        <w:t xml:space="preserve"> action for health and identifying Primary Health Care (PHC) as the tool. The “Health for All Policy” ushered a new era in health and a new vision of the disease panorama. The redefinition of health </w:t>
      </w:r>
      <w:r w:rsidR="00806244">
        <w:t>changed</w:t>
      </w:r>
      <w:r w:rsidR="008B2A50">
        <w:t xml:space="preserve"> the focus on hospitals and the biomedical model of health care. It called for a broader sociopolitical orientation for health policy, encompassing a broad social and economic development context. It gave prominence to the need for action from many other social and economic sectors in addition to the health sector. </w:t>
      </w:r>
    </w:p>
    <w:p w14:paraId="26D13615" w14:textId="77777777" w:rsidR="005A18B0" w:rsidRDefault="005A18B0" w:rsidP="00A572DD"/>
    <w:p w14:paraId="5C3CABB6" w14:textId="56F9826F" w:rsidR="006D0842" w:rsidRDefault="00A572DD" w:rsidP="00A572DD">
      <w:r w:rsidRPr="006A3C43">
        <w:t xml:space="preserve">In parallel, </w:t>
      </w:r>
      <w:r>
        <w:t xml:space="preserve">the Human Development Theory </w:t>
      </w:r>
      <w:r w:rsidRPr="006A3C43">
        <w:t>evolve</w:t>
      </w:r>
      <w:r>
        <w:t xml:space="preserve">d </w:t>
      </w:r>
      <w:r w:rsidR="00BF5DF7">
        <w:t>through</w:t>
      </w:r>
      <w:r>
        <w:t xml:space="preserve"> the work of Mahbub ul </w:t>
      </w:r>
      <w:proofErr w:type="spellStart"/>
      <w:r>
        <w:t>Haq</w:t>
      </w:r>
      <w:proofErr w:type="spellEnd"/>
      <w:r>
        <w:t xml:space="preserve"> and </w:t>
      </w:r>
      <w:r w:rsidRPr="006A3C43">
        <w:t>Amartya Sen</w:t>
      </w:r>
      <w:r w:rsidR="00883BA7">
        <w:t xml:space="preserve"> in the 1980s</w:t>
      </w:r>
      <w:r>
        <w:t>. They postulated that “</w:t>
      </w:r>
      <w:r w:rsidRPr="00A572DD">
        <w:rPr>
          <w:b/>
          <w:bCs/>
          <w:i/>
          <w:iCs/>
        </w:rPr>
        <w:t>at all levels of development</w:t>
      </w:r>
      <w:r w:rsidR="002C3DBC">
        <w:rPr>
          <w:b/>
          <w:bCs/>
          <w:i/>
          <w:iCs/>
        </w:rPr>
        <w:t>,</w:t>
      </w:r>
      <w:r w:rsidRPr="00A572DD">
        <w:rPr>
          <w:b/>
          <w:bCs/>
          <w:i/>
          <w:iCs/>
        </w:rPr>
        <w:t xml:space="preserve"> the three essential capabilities for human development are for people to lead long and healthy lives, to be knowledgeable and to have a decent standard of living</w:t>
      </w:r>
      <w:r>
        <w:rPr>
          <w:b/>
          <w:bCs/>
          <w:i/>
          <w:iCs/>
        </w:rPr>
        <w:t>”</w:t>
      </w:r>
      <w:r>
        <w:t xml:space="preserve">. </w:t>
      </w:r>
      <w:r w:rsidR="0001416E">
        <w:t>The</w:t>
      </w:r>
      <w:r w:rsidR="0001416E" w:rsidRPr="000B1121">
        <w:t xml:space="preserve"> </w:t>
      </w:r>
      <w:r w:rsidR="00BF5DF7">
        <w:t>pursuit</w:t>
      </w:r>
      <w:r w:rsidR="0001416E" w:rsidRPr="000B1121">
        <w:t xml:space="preserve"> of development and </w:t>
      </w:r>
      <w:r w:rsidR="0001416E">
        <w:t xml:space="preserve">progress on the </w:t>
      </w:r>
      <w:r w:rsidR="0001416E" w:rsidRPr="000B1121">
        <w:t xml:space="preserve">social, economic and health </w:t>
      </w:r>
      <w:r w:rsidR="0001416E">
        <w:t>fronts was the main global concern</w:t>
      </w:r>
      <w:r w:rsidR="00F37C94">
        <w:t xml:space="preserve"> over the past decades</w:t>
      </w:r>
      <w:r w:rsidR="0001416E">
        <w:t xml:space="preserve">. </w:t>
      </w:r>
      <w:r w:rsidR="00B324EB">
        <w:t>The</w:t>
      </w:r>
      <w:r w:rsidR="006D0842">
        <w:t xml:space="preserve"> 1980s</w:t>
      </w:r>
      <w:r w:rsidR="00B324EB">
        <w:t xml:space="preserve"> </w:t>
      </w:r>
      <w:r w:rsidR="006D0842">
        <w:t xml:space="preserve">“Health </w:t>
      </w:r>
      <w:proofErr w:type="gramStart"/>
      <w:r w:rsidR="006D0842">
        <w:t>For</w:t>
      </w:r>
      <w:proofErr w:type="gramEnd"/>
      <w:r w:rsidR="006D0842">
        <w:t xml:space="preserve"> All Movement” highlighted the importance of the intersectoral collaboration and of prioritizing equity in health policy</w:t>
      </w:r>
      <w:r w:rsidR="00F469B8">
        <w:t xml:space="preserve"> </w:t>
      </w:r>
      <w:r w:rsidR="00A0555B">
        <w:t>(</w:t>
      </w:r>
      <w:proofErr w:type="spellStart"/>
      <w:r w:rsidR="00A0555B" w:rsidRPr="00E17886">
        <w:rPr>
          <w:rFonts w:eastAsia="Times New Roman"/>
        </w:rPr>
        <w:t>Kreisel</w:t>
      </w:r>
      <w:proofErr w:type="spellEnd"/>
      <w:r w:rsidR="00A0555B" w:rsidRPr="00E17886">
        <w:rPr>
          <w:rFonts w:eastAsia="Times New Roman"/>
        </w:rPr>
        <w:t xml:space="preserve"> </w:t>
      </w:r>
      <w:r w:rsidR="00A0555B">
        <w:rPr>
          <w:rFonts w:eastAsia="Times New Roman"/>
        </w:rPr>
        <w:t>and</w:t>
      </w:r>
      <w:r w:rsidR="00A0555B" w:rsidRPr="00E17886">
        <w:rPr>
          <w:rFonts w:eastAsia="Times New Roman"/>
        </w:rPr>
        <w:t xml:space="preserve"> von </w:t>
      </w:r>
      <w:proofErr w:type="spellStart"/>
      <w:r w:rsidR="00A0555B" w:rsidRPr="00E17886">
        <w:rPr>
          <w:rFonts w:eastAsia="Times New Roman"/>
        </w:rPr>
        <w:t>Schirnding</w:t>
      </w:r>
      <w:proofErr w:type="spellEnd"/>
      <w:r w:rsidR="00A0555B">
        <w:rPr>
          <w:rFonts w:eastAsia="Times New Roman"/>
        </w:rPr>
        <w:t xml:space="preserve"> 1998</w:t>
      </w:r>
      <w:r w:rsidR="00F469B8">
        <w:t>)</w:t>
      </w:r>
      <w:r w:rsidR="006D0842">
        <w:t>. In particular, the Ottawa Charter for Health Promotion in 1986 recognized that intersectoral action is fundamental to reducing inequalities in health status within the population. The Charter emphasized health promotion both as a concept and strategy for reorienting the health systems to improve health equity and to achieve greater control by individuals and communities over the determinants affecting their health. The Charter emphasized that health promotion includes building healthy public policies which means putting health “</w:t>
      </w:r>
      <w:r w:rsidR="006D0842" w:rsidRPr="00BD428E">
        <w:rPr>
          <w:b/>
          <w:bCs/>
          <w:i/>
          <w:iCs/>
        </w:rPr>
        <w:t xml:space="preserve">on the agenda of policy-makers in </w:t>
      </w:r>
      <w:r w:rsidR="006D0842" w:rsidRPr="00BD428E">
        <w:rPr>
          <w:b/>
          <w:bCs/>
          <w:i/>
          <w:iCs/>
        </w:rPr>
        <w:lastRenderedPageBreak/>
        <w:t>all sectors and at all levels, directing them to be aware of the health consequences of their actions and to accept their responsibilities for health</w:t>
      </w:r>
      <w:r w:rsidR="00BD428E">
        <w:t>”</w:t>
      </w:r>
      <w:r w:rsidR="006D0842">
        <w:t>.</w:t>
      </w:r>
    </w:p>
    <w:p w14:paraId="3A793512" w14:textId="6A341CFE" w:rsidR="006D0842" w:rsidRDefault="006D0842" w:rsidP="00A572DD"/>
    <w:p w14:paraId="6C491968" w14:textId="010ABE50" w:rsidR="00E2773F" w:rsidRDefault="00AA508A" w:rsidP="00E23292">
      <w:pPr>
        <w:pStyle w:val="Heading2"/>
      </w:pPr>
      <w:bookmarkStart w:id="49" w:name="_Toc72945488"/>
      <w:bookmarkStart w:id="50" w:name="_Toc72949604"/>
      <w:bookmarkStart w:id="51" w:name="_Toc72950100"/>
      <w:bookmarkStart w:id="52" w:name="_Toc72999757"/>
      <w:bookmarkStart w:id="53" w:name="_Toc81138424"/>
      <w:bookmarkStart w:id="54" w:name="_Toc83818769"/>
      <w:bookmarkStart w:id="55" w:name="_Toc83819381"/>
      <w:bookmarkStart w:id="56" w:name="_Toc84408406"/>
      <w:r>
        <w:t>I</w:t>
      </w:r>
      <w:r w:rsidR="00E2773F">
        <w:t>.2</w:t>
      </w:r>
      <w:r w:rsidR="008724C1">
        <w:t>.</w:t>
      </w:r>
      <w:r w:rsidR="00E2773F">
        <w:t xml:space="preserve"> </w:t>
      </w:r>
      <w:r w:rsidR="00F06605">
        <w:t>T</w:t>
      </w:r>
      <w:r w:rsidR="00E23292">
        <w:t xml:space="preserve">he social determinants of health </w:t>
      </w:r>
      <w:r w:rsidR="00F06605">
        <w:t>are acknowledge</w:t>
      </w:r>
      <w:r w:rsidR="00E777E3">
        <w:t>d</w:t>
      </w:r>
      <w:r w:rsidR="00F06605">
        <w:t xml:space="preserve"> as root causes of ill health and health inequities</w:t>
      </w:r>
      <w:bookmarkEnd w:id="49"/>
      <w:bookmarkEnd w:id="50"/>
      <w:bookmarkEnd w:id="51"/>
      <w:bookmarkEnd w:id="52"/>
      <w:bookmarkEnd w:id="53"/>
      <w:bookmarkEnd w:id="54"/>
      <w:bookmarkEnd w:id="55"/>
      <w:bookmarkEnd w:id="56"/>
    </w:p>
    <w:p w14:paraId="27CFA635" w14:textId="5AFD0DA2" w:rsidR="008C2876" w:rsidRDefault="00F06605" w:rsidP="008C2876">
      <w:r>
        <w:t xml:space="preserve">The concepts of the SDH and their impact of health have been illustrated in many landmark reports since the Black report </w:t>
      </w:r>
      <w:r w:rsidR="00F738E5">
        <w:t>(</w:t>
      </w:r>
      <w:r w:rsidR="00F738E5" w:rsidRPr="001812ED">
        <w:t>Gray</w:t>
      </w:r>
      <w:r w:rsidR="00F738E5">
        <w:t xml:space="preserve"> 1982)</w:t>
      </w:r>
      <w:r>
        <w:t xml:space="preserve"> and Acheson report </w:t>
      </w:r>
      <w:r w:rsidR="00F738E5">
        <w:t xml:space="preserve">(Acheson </w:t>
      </w:r>
      <w:r>
        <w:t>1998</w:t>
      </w:r>
      <w:r w:rsidR="00F738E5">
        <w:t>)</w:t>
      </w:r>
      <w:r>
        <w:t xml:space="preserve">. </w:t>
      </w:r>
      <w:r w:rsidR="00B658D0">
        <w:t>T</w:t>
      </w:r>
      <w:r w:rsidR="0001416E" w:rsidRPr="000B1121">
        <w:t xml:space="preserve">he beginning of the </w:t>
      </w:r>
      <w:r w:rsidR="0001416E">
        <w:t xml:space="preserve">new </w:t>
      </w:r>
      <w:r w:rsidR="0001416E" w:rsidRPr="000B1121">
        <w:t>millenniu</w:t>
      </w:r>
      <w:r w:rsidR="0001416E">
        <w:t>m</w:t>
      </w:r>
      <w:r w:rsidR="00B658D0">
        <w:t xml:space="preserve"> witnessed an international consensus on a set of development goals. </w:t>
      </w:r>
      <w:r w:rsidR="0001416E">
        <w:t>T</w:t>
      </w:r>
      <w:r w:rsidR="0001416E" w:rsidRPr="000B1121">
        <w:t xml:space="preserve">he </w:t>
      </w:r>
      <w:r w:rsidR="0001416E">
        <w:t xml:space="preserve">millennium </w:t>
      </w:r>
      <w:r w:rsidR="0001416E" w:rsidRPr="000B1121">
        <w:t xml:space="preserve">development </w:t>
      </w:r>
      <w:r w:rsidR="0001416E">
        <w:t>agenda in 2000 came as commitment to help the developing nations to achieve better health and well-being</w:t>
      </w:r>
      <w:r w:rsidR="00342088">
        <w:t>. In the same context, the</w:t>
      </w:r>
      <w:r w:rsidR="00A0555B">
        <w:t xml:space="preserve"> </w:t>
      </w:r>
      <w:r w:rsidR="00342088">
        <w:t xml:space="preserve">CSDH was founded in 2005 as an attempt to </w:t>
      </w:r>
      <w:r w:rsidR="00B658D0">
        <w:t xml:space="preserve">encourage actors to channel the existing knowledge into policies and actions for the achievement of </w:t>
      </w:r>
      <w:r w:rsidR="00342088">
        <w:t>health equity</w:t>
      </w:r>
      <w:r w:rsidR="00050152">
        <w:t xml:space="preserve"> to support</w:t>
      </w:r>
      <w:r w:rsidR="00342088">
        <w:t xml:space="preserve"> the efficiency of health systems and </w:t>
      </w:r>
      <w:r w:rsidR="00050152">
        <w:t xml:space="preserve">the stewardship role of the ministries of health, as well as to encourage </w:t>
      </w:r>
      <w:r w:rsidR="00342088">
        <w:t>intersectoral action</w:t>
      </w:r>
      <w:r w:rsidR="00050152">
        <w:t>s</w:t>
      </w:r>
      <w:r w:rsidR="00342088">
        <w:t xml:space="preserve"> for health </w:t>
      </w:r>
      <w:r w:rsidR="00E777E3">
        <w:t>(</w:t>
      </w:r>
      <w:r w:rsidR="00A0555B">
        <w:t>CSDH 2008</w:t>
      </w:r>
      <w:r w:rsidR="00E777E3">
        <w:t>)</w:t>
      </w:r>
      <w:r w:rsidR="00342088">
        <w:t xml:space="preserve">. </w:t>
      </w:r>
      <w:r w:rsidR="008C2876">
        <w:t>In</w:t>
      </w:r>
      <w:r w:rsidR="008C2876" w:rsidRPr="005B23C6">
        <w:t xml:space="preserve"> 200</w:t>
      </w:r>
      <w:r w:rsidR="008C2876">
        <w:t>8</w:t>
      </w:r>
      <w:r w:rsidR="008C2876" w:rsidRPr="005B23C6">
        <w:t xml:space="preserve"> </w:t>
      </w:r>
      <w:r w:rsidR="008C2876">
        <w:t>the</w:t>
      </w:r>
      <w:r w:rsidR="008C2876" w:rsidRPr="005B23C6">
        <w:t xml:space="preserve"> </w:t>
      </w:r>
      <w:r w:rsidR="008C2876">
        <w:t xml:space="preserve">CSDH </w:t>
      </w:r>
      <w:r w:rsidR="008C2876" w:rsidRPr="005B23C6">
        <w:t>emphasized the role of the social sectors in addressing health inequities</w:t>
      </w:r>
      <w:r w:rsidR="008C2876">
        <w:t xml:space="preserve">. The CSDH emphasized that disparities in health between the rich and poor countries, and between the rich and poor people within the same country, are fundamentally linked to disparities in power and income, </w:t>
      </w:r>
      <w:proofErr w:type="gramStart"/>
      <w:r w:rsidR="008C2876">
        <w:t>goods</w:t>
      </w:r>
      <w:proofErr w:type="gramEnd"/>
      <w:r w:rsidR="008C2876">
        <w:t xml:space="preserve"> and services. These factors are reflected, in turn, in disparities in living and working conditions, in the quality of the surrounding natural environment, and in access to health care, education, leisure and other opportunities for a flourishing life. The CSDH directed the attention to the unfair distribution of structural SDH as root causes of ill-health. The CSDH argued</w:t>
      </w:r>
      <w:r w:rsidR="008C2876" w:rsidRPr="00DB540F">
        <w:t xml:space="preserve"> that the health landscape is challenged by </w:t>
      </w:r>
      <w:r w:rsidR="008C2876">
        <w:t>major social and economic maldistribution</w:t>
      </w:r>
      <w:r w:rsidR="008C2876" w:rsidRPr="00DB540F">
        <w:t xml:space="preserve"> with consequent significant inequalities.</w:t>
      </w:r>
      <w:r w:rsidR="008C2876">
        <w:t xml:space="preserve"> It became evident that</w:t>
      </w:r>
      <w:r w:rsidR="008C2876" w:rsidRPr="00DB540F">
        <w:t xml:space="preserve"> </w:t>
      </w:r>
      <w:r w:rsidR="008C2876">
        <w:t xml:space="preserve">health </w:t>
      </w:r>
      <w:r w:rsidR="008C2876" w:rsidRPr="00DB540F">
        <w:t>inequities are largely governed by factors outside of the health system and are driven by people’s access to social, economic and cultural resources and opportunities</w:t>
      </w:r>
      <w:r w:rsidR="008C2876">
        <w:t xml:space="preserve">”. The CSDH </w:t>
      </w:r>
      <w:r w:rsidR="008A1E6C">
        <w:t>emphasized the importance of the</w:t>
      </w:r>
      <w:r w:rsidR="008C2876">
        <w:t xml:space="preserve"> call for “Health in All Policies” (</w:t>
      </w:r>
      <w:proofErr w:type="spellStart"/>
      <w:r w:rsidR="008C2876">
        <w:t>HiAP</w:t>
      </w:r>
      <w:proofErr w:type="spellEnd"/>
      <w:r w:rsidR="008C2876">
        <w:t>), intersectoral actions, win-win strategies where health is either a direct or a co-benefit.</w:t>
      </w:r>
    </w:p>
    <w:p w14:paraId="6427FECB" w14:textId="77777777" w:rsidR="008C2876" w:rsidRDefault="008C2876" w:rsidP="008C2876"/>
    <w:p w14:paraId="7D7CC203" w14:textId="0619B636" w:rsidR="002E7457" w:rsidRDefault="002E7457" w:rsidP="002E7457">
      <w:r>
        <w:t>In 2011, the World Conference on SDH in Rio de Janeiro</w:t>
      </w:r>
      <w:r w:rsidR="001D2BA0">
        <w:t xml:space="preserve"> </w:t>
      </w:r>
      <w:r>
        <w:t>called for increased engagement of all sectors, stating “</w:t>
      </w:r>
      <w:r w:rsidRPr="00147373">
        <w:rPr>
          <w:b/>
          <w:bCs/>
          <w:i/>
          <w:iCs/>
        </w:rPr>
        <w:t>We understand that health equity is a shared responsibility and requires the engagement of all sectors of government, of all segments of society, and of all members of international community</w:t>
      </w:r>
      <w:r>
        <w:t xml:space="preserve">”. </w:t>
      </w:r>
    </w:p>
    <w:p w14:paraId="362BD8FD" w14:textId="77777777" w:rsidR="002E7457" w:rsidRDefault="002E7457" w:rsidP="002E7457"/>
    <w:p w14:paraId="4B302AF7" w14:textId="1C3C38BE" w:rsidR="002E7457" w:rsidRDefault="002E7457" w:rsidP="002E7457">
      <w:r>
        <w:lastRenderedPageBreak/>
        <w:t>T</w:t>
      </w:r>
      <w:r w:rsidRPr="005B23C6">
        <w:t>he UN General Assembly report</w:t>
      </w:r>
      <w:r w:rsidR="00542F10">
        <w:t xml:space="preserve"> </w:t>
      </w:r>
      <w:r w:rsidR="00A0555B">
        <w:t>in 2011 (United Nations 2011)</w:t>
      </w:r>
      <w:r w:rsidRPr="005B23C6">
        <w:t xml:space="preserve"> on the prevention and control of non-communicable diseases emphasized the need for ‘</w:t>
      </w:r>
      <w:proofErr w:type="spellStart"/>
      <w:r w:rsidR="00CC2F64">
        <w:t>HiAP</w:t>
      </w:r>
      <w:proofErr w:type="spellEnd"/>
      <w:r w:rsidR="00D545B6">
        <w:t>’</w:t>
      </w:r>
      <w:r>
        <w:t xml:space="preserve"> approaches, </w:t>
      </w:r>
      <w:r w:rsidRPr="005B23C6">
        <w:t>and the WHO identified</w:t>
      </w:r>
      <w:r>
        <w:t xml:space="preserve"> the</w:t>
      </w:r>
      <w:r w:rsidRPr="005B23C6">
        <w:t xml:space="preserve"> intersectoral action as a key driver and strategy in achieving universal health coverage</w:t>
      </w:r>
      <w:r w:rsidR="00542F10">
        <w:t xml:space="preserve"> (</w:t>
      </w:r>
      <w:r w:rsidR="002C56D0">
        <w:t>Dye et al, 2013</w:t>
      </w:r>
      <w:r w:rsidR="00542F10">
        <w:t>)</w:t>
      </w:r>
      <w:r>
        <w:t xml:space="preserve">. It was stated that policies and programs must embrace all the key sectors of society, not just the health sector. </w:t>
      </w:r>
    </w:p>
    <w:p w14:paraId="11ED2365" w14:textId="5D92975E" w:rsidR="002E7457" w:rsidRDefault="002E7457" w:rsidP="002E7457"/>
    <w:p w14:paraId="18FCCD3F" w14:textId="05C6754F" w:rsidR="002676B6" w:rsidRPr="0050157C" w:rsidRDefault="003E2B45" w:rsidP="002676B6">
      <w:pPr>
        <w:tabs>
          <w:tab w:val="num" w:pos="720"/>
        </w:tabs>
        <w:rPr>
          <w:lang w:val="en-AU"/>
        </w:rPr>
      </w:pPr>
      <w:r>
        <w:t xml:space="preserve">The lessons learned from monitoring the MDGs and the </w:t>
      </w:r>
      <w:r w:rsidR="004378EB">
        <w:t>parallel work of the CSDH showed that</w:t>
      </w:r>
      <w:r w:rsidR="008C62E0">
        <w:t xml:space="preserve"> </w:t>
      </w:r>
      <w:r w:rsidR="00DB7035" w:rsidRPr="009100FD">
        <w:t>there were significant achievements made</w:t>
      </w:r>
      <w:r w:rsidR="00DB7035">
        <w:t xml:space="preserve">, but many challenges persisted as </w:t>
      </w:r>
      <w:r w:rsidR="00DB7035" w:rsidRPr="009100FD">
        <w:rPr>
          <w:lang w:val="en-AU"/>
        </w:rPr>
        <w:t xml:space="preserve">millions of people </w:t>
      </w:r>
      <w:r w:rsidR="00DB7035">
        <w:rPr>
          <w:lang w:val="en-AU"/>
        </w:rPr>
        <w:t xml:space="preserve">still </w:t>
      </w:r>
      <w:r w:rsidR="00DB7035" w:rsidRPr="009100FD">
        <w:rPr>
          <w:lang w:val="en-AU"/>
        </w:rPr>
        <w:t>lived in poverty and hunger, without access to basic services</w:t>
      </w:r>
      <w:r w:rsidR="00DB7035">
        <w:rPr>
          <w:lang w:val="en-AU"/>
        </w:rPr>
        <w:t xml:space="preserve">; several health conditions persisted with significant health differences between the poor and the rich. </w:t>
      </w:r>
      <w:r w:rsidR="00C72D9E">
        <w:rPr>
          <w:lang w:val="en-AU"/>
        </w:rPr>
        <w:t xml:space="preserve">It was evident that </w:t>
      </w:r>
      <w:r w:rsidR="00C72D9E">
        <w:t>all countries have mutual problems calling for global partnerships to address the root causes of social injustice and promote health equity</w:t>
      </w:r>
      <w:r w:rsidR="004378EB">
        <w:t>.</w:t>
      </w:r>
      <w:r w:rsidR="00C72D9E">
        <w:rPr>
          <w:lang w:val="en-AU"/>
        </w:rPr>
        <w:t xml:space="preserve"> </w:t>
      </w:r>
      <w:r w:rsidR="00513F4D">
        <w:rPr>
          <w:lang w:val="en-AU"/>
        </w:rPr>
        <w:t>It</w:t>
      </w:r>
      <w:r w:rsidR="00DB7035">
        <w:rPr>
          <w:lang w:val="en-AU"/>
        </w:rPr>
        <w:t xml:space="preserve"> was clear that the world had</w:t>
      </w:r>
      <w:r w:rsidR="00DB7035" w:rsidRPr="009100FD">
        <w:rPr>
          <w:lang w:val="en-AU"/>
        </w:rPr>
        <w:t xml:space="preserve"> the opportun</w:t>
      </w:r>
      <w:r w:rsidR="00DB7035">
        <w:rPr>
          <w:lang w:val="en-AU"/>
        </w:rPr>
        <w:t>ity to build on the success of</w:t>
      </w:r>
      <w:r w:rsidR="00DB7035" w:rsidRPr="009100FD">
        <w:rPr>
          <w:lang w:val="en-AU"/>
        </w:rPr>
        <w:t xml:space="preserve"> the MD</w:t>
      </w:r>
      <w:r w:rsidR="00603799">
        <w:rPr>
          <w:lang w:val="en-AU"/>
        </w:rPr>
        <w:t>Gs</w:t>
      </w:r>
      <w:r w:rsidR="00DB7035" w:rsidRPr="009100FD">
        <w:rPr>
          <w:lang w:val="en-AU"/>
        </w:rPr>
        <w:t xml:space="preserve"> and look for better future “</w:t>
      </w:r>
      <w:r w:rsidR="00DB7035" w:rsidRPr="00603799">
        <w:rPr>
          <w:b/>
          <w:bCs/>
          <w:i/>
          <w:iCs/>
          <w:lang w:val="en-AU"/>
        </w:rPr>
        <w:t>The Future We Want</w:t>
      </w:r>
      <w:r w:rsidR="00DB7035" w:rsidRPr="009100FD">
        <w:rPr>
          <w:lang w:val="en-AU"/>
        </w:rPr>
        <w:t>”</w:t>
      </w:r>
      <w:r w:rsidR="00DB7035">
        <w:rPr>
          <w:lang w:val="en-AU"/>
        </w:rPr>
        <w:t xml:space="preserve">. </w:t>
      </w:r>
      <w:r w:rsidR="00DB7035" w:rsidRPr="009100FD">
        <w:rPr>
          <w:lang w:val="en-AU"/>
        </w:rPr>
        <w:t xml:space="preserve">Thus came the SDA, </w:t>
      </w:r>
      <w:r w:rsidR="00DB7035">
        <w:rPr>
          <w:lang w:val="en-AU"/>
        </w:rPr>
        <w:t xml:space="preserve">with a new focus on the concept of </w:t>
      </w:r>
      <w:r w:rsidR="00DB7035" w:rsidRPr="009100FD">
        <w:rPr>
          <w:lang w:val="en-AU"/>
        </w:rPr>
        <w:t>sustainable development with its social, environment and economic dimensions</w:t>
      </w:r>
      <w:r w:rsidR="00DB7035">
        <w:rPr>
          <w:lang w:val="en-AU"/>
        </w:rPr>
        <w:t xml:space="preserve"> </w:t>
      </w:r>
      <w:r w:rsidR="00DB7035" w:rsidRPr="009100FD">
        <w:rPr>
          <w:lang w:val="en-AU"/>
        </w:rPr>
        <w:t>founded on the principles and values of human right</w:t>
      </w:r>
      <w:r w:rsidR="00DB7035">
        <w:rPr>
          <w:lang w:val="en-AU"/>
        </w:rPr>
        <w:t>s</w:t>
      </w:r>
      <w:r w:rsidR="00DB7035" w:rsidRPr="009100FD">
        <w:rPr>
          <w:lang w:val="en-AU"/>
        </w:rPr>
        <w:t xml:space="preserve">, social </w:t>
      </w:r>
      <w:proofErr w:type="gramStart"/>
      <w:r w:rsidR="00DB7035" w:rsidRPr="009100FD">
        <w:rPr>
          <w:lang w:val="en-AU"/>
        </w:rPr>
        <w:t>justice</w:t>
      </w:r>
      <w:proofErr w:type="gramEnd"/>
      <w:r w:rsidR="00DB7035" w:rsidRPr="009100FD">
        <w:rPr>
          <w:lang w:val="en-AU"/>
        </w:rPr>
        <w:t xml:space="preserve"> and ethical obligations “Leaving No One Behind”</w:t>
      </w:r>
      <w:r w:rsidR="0001416E" w:rsidRPr="000B1121">
        <w:t>.</w:t>
      </w:r>
      <w:r w:rsidR="004E1A4D">
        <w:t xml:space="preserve"> </w:t>
      </w:r>
      <w:r w:rsidR="002676B6">
        <w:t>The 2030 Agenda</w:t>
      </w:r>
      <w:r w:rsidR="007C66EB">
        <w:t xml:space="preserve"> (</w:t>
      </w:r>
      <w:r w:rsidR="00B601E5">
        <w:t>United Nations 2015</w:t>
      </w:r>
      <w:r w:rsidR="007C66EB">
        <w:t>)</w:t>
      </w:r>
      <w:r w:rsidR="002676B6">
        <w:t xml:space="preserve"> constitutes an important policy framework that can further action on the SDH and promote greater health equity on a global scale. </w:t>
      </w:r>
    </w:p>
    <w:p w14:paraId="62E5AB99" w14:textId="77777777" w:rsidR="004E1A4D" w:rsidRDefault="004E1A4D" w:rsidP="004E1A4D"/>
    <w:p w14:paraId="1FF4EF1D" w14:textId="606D063C" w:rsidR="004E1A4D" w:rsidRDefault="004E1A4D" w:rsidP="004730DB">
      <w:r>
        <w:t>Th</w:t>
      </w:r>
      <w:r w:rsidR="00787806">
        <w:t>e need for integrated policy framework</w:t>
      </w:r>
      <w:r>
        <w:t xml:space="preserve"> was further illustrated i</w:t>
      </w:r>
      <w:r w:rsidR="004730DB">
        <w:t>n 2020 with the COVID-19 crises. The</w:t>
      </w:r>
      <w:r>
        <w:t xml:space="preserve"> pandemic came as a unique illustrative global model for this paradigm shift in thinking. </w:t>
      </w:r>
      <w:r w:rsidRPr="00235F57">
        <w:t>As the pandemic swept the world</w:t>
      </w:r>
      <w:r>
        <w:t>, the COVID-19 health burden</w:t>
      </w:r>
      <w:r w:rsidR="00F97BF0">
        <w:t xml:space="preserve"> was</w:t>
      </w:r>
      <w:r>
        <w:t xml:space="preserve"> aggravated </w:t>
      </w:r>
      <w:r w:rsidR="00BA03B9">
        <w:t xml:space="preserve">by and in turn exacerbated </w:t>
      </w:r>
      <w:r>
        <w:t>the longstanding unjust socioeconomic inequalities</w:t>
      </w:r>
      <w:r w:rsidR="00B601E5">
        <w:t xml:space="preserve"> (</w:t>
      </w:r>
      <w:r w:rsidR="00877748">
        <w:t>United Nations 2020</w:t>
      </w:r>
      <w:r w:rsidR="00B601E5">
        <w:t>)</w:t>
      </w:r>
      <w:r>
        <w:t xml:space="preserve">. The urgent need for social justice and human rights sensitive policies and interventions </w:t>
      </w:r>
      <w:r w:rsidR="00787806">
        <w:t xml:space="preserve">moved from a proposition to being recognized as </w:t>
      </w:r>
      <w:r>
        <w:t xml:space="preserve">a vital need. It is becoming increasingly clear that the inequitable health outcomes, whether from the COVID-19 pandemic or any health condition, run deeper than the morbidity and mortality </w:t>
      </w:r>
      <w:r w:rsidR="00787806">
        <w:t xml:space="preserve">as a question </w:t>
      </w:r>
      <w:r>
        <w:t xml:space="preserve">or even the individuals’ behavior. For countries to recover from any health crisis, </w:t>
      </w:r>
      <w:r w:rsidR="00787806">
        <w:t xml:space="preserve">the Covid-19 pandemic can be used as </w:t>
      </w:r>
      <w:r>
        <w:t xml:space="preserve">an opportunity to work towards evidence-based policies for more socially just societies, resilient </w:t>
      </w:r>
      <w:proofErr w:type="gramStart"/>
      <w:r>
        <w:t>systems</w:t>
      </w:r>
      <w:proofErr w:type="gramEnd"/>
      <w:r>
        <w:t xml:space="preserve"> and health equitable world (</w:t>
      </w:r>
      <w:proofErr w:type="spellStart"/>
      <w:r w:rsidR="00877748" w:rsidRPr="009F0BE2">
        <w:rPr>
          <w:rFonts w:asciiTheme="minorBidi" w:hAnsiTheme="minorBidi" w:cstheme="minorBidi"/>
          <w:i/>
          <w:iCs/>
          <w:color w:val="000000"/>
        </w:rPr>
        <w:t>Maani</w:t>
      </w:r>
      <w:proofErr w:type="spellEnd"/>
      <w:r w:rsidR="00877748">
        <w:rPr>
          <w:rFonts w:asciiTheme="minorBidi" w:hAnsiTheme="minorBidi" w:cstheme="minorBidi"/>
          <w:i/>
          <w:iCs/>
          <w:color w:val="000000"/>
        </w:rPr>
        <w:t xml:space="preserve"> 2021;</w:t>
      </w:r>
      <w:r>
        <w:t xml:space="preserve"> </w:t>
      </w:r>
      <w:r w:rsidR="00877748">
        <w:t>United Nations 2020</w:t>
      </w:r>
      <w:r w:rsidR="00026565">
        <w:t>; WHO 2020</w:t>
      </w:r>
      <w:r>
        <w:t>).</w:t>
      </w:r>
    </w:p>
    <w:p w14:paraId="75D63EA2" w14:textId="79B30EBA" w:rsidR="00084E96" w:rsidRDefault="00084E96" w:rsidP="00084E96"/>
    <w:p w14:paraId="6548DF38" w14:textId="3E22522C" w:rsidR="002D19A8" w:rsidRPr="00214F88" w:rsidRDefault="002D19A8" w:rsidP="00214F88">
      <w:pPr>
        <w:rPr>
          <w:rFonts w:asciiTheme="minorBidi" w:eastAsia="Times New Roman" w:hAnsiTheme="minorBidi" w:cstheme="minorBidi"/>
          <w:color w:val="000000" w:themeColor="text1"/>
        </w:rPr>
      </w:pPr>
      <w:r w:rsidRPr="00720B8F">
        <w:rPr>
          <w:rFonts w:asciiTheme="minorBidi" w:hAnsiTheme="minorBidi" w:cstheme="minorBidi"/>
          <w:color w:val="000000" w:themeColor="text1"/>
        </w:rPr>
        <w:t>The</w:t>
      </w:r>
      <w:r w:rsidR="008772C9">
        <w:rPr>
          <w:rFonts w:asciiTheme="minorBidi" w:hAnsiTheme="minorBidi" w:cstheme="minorBidi"/>
          <w:color w:val="000000" w:themeColor="text1"/>
        </w:rPr>
        <w:t>re are two</w:t>
      </w:r>
      <w:r w:rsidR="00AF3DF4" w:rsidRPr="00720B8F">
        <w:rPr>
          <w:rFonts w:asciiTheme="minorBidi" w:hAnsiTheme="minorBidi" w:cstheme="minorBidi"/>
          <w:color w:val="000000" w:themeColor="text1"/>
        </w:rPr>
        <w:t xml:space="preserve"> recent</w:t>
      </w:r>
      <w:r w:rsidRPr="00720B8F">
        <w:rPr>
          <w:rFonts w:asciiTheme="minorBidi" w:hAnsiTheme="minorBidi" w:cstheme="minorBidi"/>
          <w:color w:val="000000" w:themeColor="text1"/>
        </w:rPr>
        <w:t xml:space="preserve"> landmark</w:t>
      </w:r>
      <w:r w:rsidR="008772C9">
        <w:rPr>
          <w:rFonts w:asciiTheme="minorBidi" w:hAnsiTheme="minorBidi" w:cstheme="minorBidi"/>
          <w:color w:val="000000" w:themeColor="text1"/>
        </w:rPr>
        <w:t xml:space="preserve">s in the same </w:t>
      </w:r>
      <w:proofErr w:type="gramStart"/>
      <w:r w:rsidR="008772C9">
        <w:rPr>
          <w:rFonts w:asciiTheme="minorBidi" w:hAnsiTheme="minorBidi" w:cstheme="minorBidi"/>
          <w:color w:val="000000" w:themeColor="text1"/>
        </w:rPr>
        <w:t>context</w:t>
      </w:r>
      <w:r w:rsidRPr="00720B8F">
        <w:rPr>
          <w:rFonts w:asciiTheme="minorBidi" w:hAnsiTheme="minorBidi" w:cstheme="minorBidi"/>
          <w:color w:val="000000" w:themeColor="text1"/>
        </w:rPr>
        <w:t xml:space="preserve"> </w:t>
      </w:r>
      <w:r w:rsidR="008772C9">
        <w:rPr>
          <w:rFonts w:asciiTheme="minorBidi" w:hAnsiTheme="minorBidi" w:cstheme="minorBidi"/>
          <w:color w:val="000000" w:themeColor="text1"/>
        </w:rPr>
        <w:t>.</w:t>
      </w:r>
      <w:proofErr w:type="gramEnd"/>
      <w:r w:rsidR="008772C9">
        <w:rPr>
          <w:rFonts w:asciiTheme="minorBidi" w:hAnsiTheme="minorBidi" w:cstheme="minorBidi"/>
          <w:color w:val="000000" w:themeColor="text1"/>
        </w:rPr>
        <w:t xml:space="preserve"> The first is </w:t>
      </w:r>
      <w:r w:rsidR="008772C9" w:rsidRPr="00720B8F">
        <w:rPr>
          <w:rFonts w:asciiTheme="minorBidi" w:hAnsiTheme="minorBidi" w:cstheme="minorBidi"/>
          <w:color w:val="000000" w:themeColor="text1"/>
        </w:rPr>
        <w:t xml:space="preserve">the report </w:t>
      </w:r>
      <w:r w:rsidR="008772C9" w:rsidRPr="00720B8F">
        <w:rPr>
          <w:rFonts w:asciiTheme="minorBidi" w:hAnsiTheme="minorBidi" w:cstheme="minorBidi"/>
          <w:color w:val="000000" w:themeColor="text1"/>
          <w:shd w:val="clear" w:color="auto" w:fill="FFFFFF"/>
        </w:rPr>
        <w:t>of Commission on the Social Determinants of Health in the Eastern Mediterranean Region</w:t>
      </w:r>
      <w:r w:rsidR="008772C9" w:rsidRPr="00720B8F">
        <w:rPr>
          <w:rFonts w:asciiTheme="minorBidi" w:hAnsiTheme="minorBidi" w:cstheme="minorBidi"/>
          <w:color w:val="000000" w:themeColor="text1"/>
        </w:rPr>
        <w:t xml:space="preserve"> (CSDH-EMR) “</w:t>
      </w:r>
      <w:r w:rsidR="008772C9" w:rsidRPr="00720B8F">
        <w:rPr>
          <w:rFonts w:asciiTheme="minorBidi" w:eastAsia="Times New Roman" w:hAnsiTheme="minorBidi" w:cstheme="minorBidi"/>
          <w:b/>
          <w:bCs/>
          <w:i/>
          <w:iCs/>
          <w:color w:val="000000" w:themeColor="text1"/>
        </w:rPr>
        <w:t>Build back fairer: achieving health equity in the Eastern Mediterranean Region</w:t>
      </w:r>
      <w:r w:rsidR="008772C9" w:rsidRPr="00720B8F">
        <w:rPr>
          <w:rFonts w:asciiTheme="minorBidi" w:hAnsiTheme="minorBidi" w:cstheme="minorBidi"/>
          <w:color w:val="000000" w:themeColor="text1"/>
        </w:rPr>
        <w:t>”</w:t>
      </w:r>
      <w:r w:rsidR="008772C9" w:rsidRPr="00720B8F">
        <w:rPr>
          <w:rFonts w:asciiTheme="minorBidi" w:eastAsia="Times New Roman" w:hAnsiTheme="minorBidi" w:cstheme="minorBidi"/>
          <w:color w:val="000000" w:themeColor="text1"/>
        </w:rPr>
        <w:t xml:space="preserve"> </w:t>
      </w:r>
      <w:r w:rsidR="00F8791B" w:rsidRPr="00720B8F">
        <w:rPr>
          <w:rFonts w:asciiTheme="minorBidi" w:hAnsiTheme="minorBidi" w:cstheme="minorBidi"/>
          <w:color w:val="000000" w:themeColor="text1"/>
        </w:rPr>
        <w:t xml:space="preserve">published in March </w:t>
      </w:r>
      <w:r w:rsidR="00F8791B" w:rsidRPr="00720B8F">
        <w:rPr>
          <w:rFonts w:asciiTheme="minorBidi" w:hAnsiTheme="minorBidi" w:cstheme="minorBidi"/>
          <w:color w:val="000000" w:themeColor="text1"/>
        </w:rPr>
        <w:lastRenderedPageBreak/>
        <w:t>2021</w:t>
      </w:r>
      <w:r w:rsidR="008772C9">
        <w:rPr>
          <w:rFonts w:asciiTheme="minorBidi" w:hAnsiTheme="minorBidi" w:cstheme="minorBidi"/>
          <w:color w:val="000000" w:themeColor="text1"/>
        </w:rPr>
        <w:t>. The</w:t>
      </w:r>
      <w:r w:rsidR="008772C9" w:rsidRPr="00720B8F">
        <w:rPr>
          <w:rFonts w:asciiTheme="minorBidi" w:hAnsiTheme="minorBidi" w:cstheme="minorBidi"/>
          <w:color w:val="000000" w:themeColor="text1"/>
        </w:rPr>
        <w:t xml:space="preserve"> CSDH-EMR</w:t>
      </w:r>
      <w:r w:rsidR="00F8791B">
        <w:rPr>
          <w:rFonts w:asciiTheme="minorBidi" w:eastAsia="Times New Roman" w:hAnsiTheme="minorBidi" w:cstheme="minorBidi"/>
          <w:color w:val="000000" w:themeColor="text1"/>
        </w:rPr>
        <w:t xml:space="preserve"> report </w:t>
      </w:r>
      <w:r w:rsidR="00F8791B" w:rsidRPr="00720B8F">
        <w:rPr>
          <w:rFonts w:asciiTheme="minorBidi" w:hAnsiTheme="minorBidi" w:cstheme="minorBidi"/>
          <w:color w:val="000000" w:themeColor="text1"/>
        </w:rPr>
        <w:t>specific to the EMR, where most of Arab countries exist</w:t>
      </w:r>
      <w:r w:rsidR="00707175" w:rsidRPr="00720B8F">
        <w:rPr>
          <w:rFonts w:asciiTheme="minorBidi" w:hAnsiTheme="minorBidi" w:cstheme="minorBidi"/>
          <w:color w:val="000000" w:themeColor="text1"/>
        </w:rPr>
        <w:t xml:space="preserve">, </w:t>
      </w:r>
      <w:proofErr w:type="gramStart"/>
      <w:r w:rsidRPr="00720B8F">
        <w:rPr>
          <w:rFonts w:asciiTheme="minorBidi" w:hAnsiTheme="minorBidi" w:cstheme="minorBidi"/>
          <w:color w:val="000000" w:themeColor="text1"/>
        </w:rPr>
        <w:t xml:space="preserve">was </w:t>
      </w:r>
      <w:r w:rsidR="00C22515" w:rsidRPr="00720B8F">
        <w:rPr>
          <w:rFonts w:asciiTheme="minorBidi" w:eastAsia="Times New Roman" w:hAnsiTheme="minorBidi" w:cstheme="minorBidi"/>
          <w:color w:val="000000" w:themeColor="text1"/>
        </w:rPr>
        <w:t>ha</w:t>
      </w:r>
      <w:r w:rsidR="002A1D8F" w:rsidRPr="00720B8F">
        <w:rPr>
          <w:rFonts w:asciiTheme="minorBidi" w:eastAsia="Times New Roman" w:hAnsiTheme="minorBidi" w:cstheme="minorBidi"/>
          <w:color w:val="000000" w:themeColor="text1"/>
        </w:rPr>
        <w:t>s</w:t>
      </w:r>
      <w:proofErr w:type="gramEnd"/>
      <w:r w:rsidR="00571FE4" w:rsidRPr="00720B8F">
        <w:rPr>
          <w:rFonts w:asciiTheme="minorBidi" w:eastAsia="Times New Roman" w:hAnsiTheme="minorBidi" w:cstheme="minorBidi"/>
          <w:color w:val="000000" w:themeColor="text1"/>
        </w:rPr>
        <w:t xml:space="preserve"> provided </w:t>
      </w:r>
      <w:r w:rsidR="00A201AF" w:rsidRPr="00720B8F">
        <w:rPr>
          <w:rFonts w:asciiTheme="minorBidi" w:eastAsia="Times New Roman" w:hAnsiTheme="minorBidi" w:cstheme="minorBidi"/>
          <w:color w:val="000000" w:themeColor="text1"/>
        </w:rPr>
        <w:t>breaking insights on the</w:t>
      </w:r>
      <w:r w:rsidR="00C22515" w:rsidRPr="00720B8F">
        <w:rPr>
          <w:rFonts w:asciiTheme="minorBidi" w:eastAsia="Times New Roman" w:hAnsiTheme="minorBidi" w:cstheme="minorBidi"/>
          <w:color w:val="000000" w:themeColor="text1"/>
        </w:rPr>
        <w:t xml:space="preserve"> long prevail</w:t>
      </w:r>
      <w:r w:rsidR="00A201AF" w:rsidRPr="00720B8F">
        <w:rPr>
          <w:rFonts w:asciiTheme="minorBidi" w:eastAsia="Times New Roman" w:hAnsiTheme="minorBidi" w:cstheme="minorBidi"/>
          <w:color w:val="000000" w:themeColor="text1"/>
        </w:rPr>
        <w:t>ing health inequalities</w:t>
      </w:r>
      <w:r w:rsidR="00670C7C" w:rsidRPr="00720B8F">
        <w:rPr>
          <w:rFonts w:asciiTheme="minorBidi" w:eastAsia="Times New Roman" w:hAnsiTheme="minorBidi" w:cstheme="minorBidi"/>
          <w:color w:val="000000" w:themeColor="text1"/>
        </w:rPr>
        <w:t xml:space="preserve"> with </w:t>
      </w:r>
      <w:r w:rsidR="00C22515" w:rsidRPr="00720B8F">
        <w:rPr>
          <w:rFonts w:asciiTheme="minorBidi" w:eastAsia="Times New Roman" w:hAnsiTheme="minorBidi" w:cstheme="minorBidi"/>
          <w:color w:val="000000" w:themeColor="text1"/>
        </w:rPr>
        <w:t>the COVID-19 pandemic adding to th</w:t>
      </w:r>
      <w:r w:rsidR="00670C7C" w:rsidRPr="00720B8F">
        <w:rPr>
          <w:rFonts w:asciiTheme="minorBidi" w:eastAsia="Times New Roman" w:hAnsiTheme="minorBidi" w:cstheme="minorBidi"/>
          <w:color w:val="000000" w:themeColor="text1"/>
        </w:rPr>
        <w:t>is</w:t>
      </w:r>
      <w:r w:rsidR="00C22515" w:rsidRPr="00720B8F">
        <w:rPr>
          <w:rFonts w:asciiTheme="minorBidi" w:eastAsia="Times New Roman" w:hAnsiTheme="minorBidi" w:cstheme="minorBidi"/>
          <w:color w:val="000000" w:themeColor="text1"/>
        </w:rPr>
        <w:t xml:space="preserve"> heavy burden</w:t>
      </w:r>
      <w:r w:rsidR="005E12E3" w:rsidRPr="00720B8F">
        <w:rPr>
          <w:rFonts w:asciiTheme="minorBidi" w:eastAsia="Times New Roman" w:hAnsiTheme="minorBidi" w:cstheme="minorBidi"/>
          <w:color w:val="000000" w:themeColor="text1"/>
        </w:rPr>
        <w:t xml:space="preserve">. </w:t>
      </w:r>
      <w:r w:rsidR="00F8791B">
        <w:rPr>
          <w:rFonts w:asciiTheme="minorBidi" w:eastAsia="Times New Roman" w:hAnsiTheme="minorBidi" w:cstheme="minorBidi"/>
          <w:color w:val="000000" w:themeColor="text1"/>
        </w:rPr>
        <w:t xml:space="preserve">The second is the </w:t>
      </w:r>
      <w:r w:rsidR="00F8791B" w:rsidRPr="00F8791B">
        <w:rPr>
          <w:rFonts w:asciiTheme="minorBidi" w:eastAsia="Times New Roman" w:hAnsiTheme="minorBidi" w:cstheme="minorBidi"/>
          <w:color w:val="000000" w:themeColor="text1"/>
        </w:rPr>
        <w:t xml:space="preserve">report by the Commission on Health Determinants, Data and Decision-Making (3-D Commission), an initiative by the Rockefeller Foundation and Boston University School of Public Health. The findings of the 3-D Commission’s final report </w:t>
      </w:r>
      <w:r w:rsidR="00F8791B">
        <w:rPr>
          <w:rFonts w:asciiTheme="minorBidi" w:eastAsia="Times New Roman" w:hAnsiTheme="minorBidi" w:cstheme="minorBidi"/>
          <w:color w:val="000000" w:themeColor="text1"/>
        </w:rPr>
        <w:t>confirm t</w:t>
      </w:r>
      <w:r w:rsidR="00F8791B" w:rsidRPr="00F8791B">
        <w:rPr>
          <w:rFonts w:asciiTheme="minorBidi" w:eastAsia="Times New Roman" w:hAnsiTheme="minorBidi" w:cstheme="minorBidi"/>
          <w:color w:val="000000" w:themeColor="text1"/>
        </w:rPr>
        <w:t xml:space="preserve">he impacts of </w:t>
      </w:r>
      <w:r w:rsidR="00F8791B">
        <w:rPr>
          <w:rFonts w:asciiTheme="minorBidi" w:eastAsia="Times New Roman" w:hAnsiTheme="minorBidi" w:cstheme="minorBidi"/>
          <w:color w:val="000000" w:themeColor="text1"/>
        </w:rPr>
        <w:t xml:space="preserve">the </w:t>
      </w:r>
      <w:r w:rsidR="00F8791B" w:rsidRPr="00F8791B">
        <w:rPr>
          <w:rFonts w:asciiTheme="minorBidi" w:eastAsia="Times New Roman" w:hAnsiTheme="minorBidi" w:cstheme="minorBidi"/>
          <w:color w:val="000000" w:themeColor="text1"/>
        </w:rPr>
        <w:t xml:space="preserve">social determinants </w:t>
      </w:r>
      <w:r w:rsidR="00F8791B">
        <w:rPr>
          <w:rFonts w:asciiTheme="minorBidi" w:eastAsia="Times New Roman" w:hAnsiTheme="minorBidi" w:cstheme="minorBidi"/>
          <w:color w:val="000000" w:themeColor="text1"/>
        </w:rPr>
        <w:t>as</w:t>
      </w:r>
      <w:r w:rsidR="00F8791B" w:rsidRPr="00F8791B">
        <w:rPr>
          <w:rFonts w:asciiTheme="minorBidi" w:eastAsia="Times New Roman" w:hAnsiTheme="minorBidi" w:cstheme="minorBidi"/>
          <w:color w:val="000000" w:themeColor="text1"/>
        </w:rPr>
        <w:t xml:space="preserve"> long-term</w:t>
      </w:r>
      <w:r w:rsidR="00F8791B">
        <w:rPr>
          <w:rFonts w:asciiTheme="minorBidi" w:eastAsia="Times New Roman" w:hAnsiTheme="minorBidi" w:cstheme="minorBidi"/>
          <w:color w:val="000000" w:themeColor="text1"/>
        </w:rPr>
        <w:t xml:space="preserve"> challenges and calls upon p</w:t>
      </w:r>
      <w:r w:rsidR="00F8791B" w:rsidRPr="00F8791B">
        <w:rPr>
          <w:rFonts w:asciiTheme="minorBidi" w:eastAsia="Times New Roman" w:hAnsiTheme="minorBidi" w:cstheme="minorBidi"/>
          <w:color w:val="000000" w:themeColor="text1"/>
        </w:rPr>
        <w:t xml:space="preserve">olicymakers </w:t>
      </w:r>
      <w:r w:rsidR="00F8791B">
        <w:rPr>
          <w:rFonts w:asciiTheme="minorBidi" w:eastAsia="Times New Roman" w:hAnsiTheme="minorBidi" w:cstheme="minorBidi"/>
          <w:color w:val="000000" w:themeColor="text1"/>
        </w:rPr>
        <w:t xml:space="preserve">to </w:t>
      </w:r>
      <w:r w:rsidR="00F8791B" w:rsidRPr="00F8791B">
        <w:rPr>
          <w:rFonts w:asciiTheme="minorBidi" w:eastAsia="Times New Roman" w:hAnsiTheme="minorBidi" w:cstheme="minorBidi"/>
          <w:color w:val="000000" w:themeColor="text1"/>
        </w:rPr>
        <w:t xml:space="preserve">continually connect the dots between epidemiological data and social determinants data to </w:t>
      </w:r>
      <w:r w:rsidR="00F8791B">
        <w:rPr>
          <w:rFonts w:asciiTheme="minorBidi" w:eastAsia="Times New Roman" w:hAnsiTheme="minorBidi" w:cstheme="minorBidi"/>
          <w:color w:val="000000" w:themeColor="text1"/>
        </w:rPr>
        <w:t>improve health and well-being for all</w:t>
      </w:r>
      <w:r w:rsidR="00F8791B" w:rsidRPr="00F8791B">
        <w:rPr>
          <w:rFonts w:asciiTheme="minorBidi" w:eastAsia="Times New Roman" w:hAnsiTheme="minorBidi" w:cstheme="minorBidi"/>
          <w:color w:val="000000" w:themeColor="text1"/>
        </w:rPr>
        <w:t>.</w:t>
      </w:r>
      <w:r w:rsidR="00214F88">
        <w:rPr>
          <w:rFonts w:asciiTheme="minorBidi" w:eastAsia="Times New Roman" w:hAnsiTheme="minorBidi" w:cstheme="minorBidi"/>
          <w:color w:val="000000" w:themeColor="text1"/>
        </w:rPr>
        <w:t xml:space="preserve"> </w:t>
      </w:r>
      <w:r w:rsidR="00E84D4D">
        <w:rPr>
          <w:rFonts w:asciiTheme="minorBidi" w:eastAsia="Times New Roman" w:hAnsiTheme="minorBidi" w:cstheme="minorBidi"/>
          <w:color w:val="000000" w:themeColor="text1"/>
        </w:rPr>
        <w:t>Both reports</w:t>
      </w:r>
      <w:r w:rsidR="00081F8D" w:rsidRPr="00720B8F">
        <w:rPr>
          <w:rFonts w:asciiTheme="minorBidi" w:eastAsia="Times New Roman" w:hAnsiTheme="minorBidi" w:cstheme="minorBidi"/>
          <w:color w:val="000000" w:themeColor="text1"/>
        </w:rPr>
        <w:t xml:space="preserve"> urge countries to take action to address the </w:t>
      </w:r>
      <w:r w:rsidR="00CE7A3F" w:rsidRPr="00720B8F">
        <w:rPr>
          <w:rFonts w:asciiTheme="minorBidi" w:eastAsia="Times New Roman" w:hAnsiTheme="minorBidi" w:cstheme="minorBidi"/>
          <w:color w:val="000000" w:themeColor="text1"/>
        </w:rPr>
        <w:t>SDH</w:t>
      </w:r>
      <w:r w:rsidR="00081F8D" w:rsidRPr="00720B8F">
        <w:rPr>
          <w:rFonts w:asciiTheme="minorBidi" w:eastAsia="Times New Roman" w:hAnsiTheme="minorBidi" w:cstheme="minorBidi"/>
          <w:color w:val="000000" w:themeColor="text1"/>
        </w:rPr>
        <w:t xml:space="preserve"> to reverse the worsening trend of </w:t>
      </w:r>
      <w:r w:rsidR="00214F88">
        <w:rPr>
          <w:rFonts w:asciiTheme="minorBidi" w:eastAsia="Times New Roman" w:hAnsiTheme="minorBidi" w:cstheme="minorBidi"/>
          <w:color w:val="000000" w:themeColor="text1"/>
        </w:rPr>
        <w:t xml:space="preserve">social injustice and health </w:t>
      </w:r>
      <w:r w:rsidR="00081F8D" w:rsidRPr="00720B8F">
        <w:rPr>
          <w:rFonts w:asciiTheme="minorBidi" w:eastAsia="Times New Roman" w:hAnsiTheme="minorBidi" w:cstheme="minorBidi"/>
          <w:color w:val="000000" w:themeColor="text1"/>
        </w:rPr>
        <w:t>inequity</w:t>
      </w:r>
      <w:r w:rsidR="00363EAB" w:rsidRPr="00720B8F">
        <w:rPr>
          <w:rFonts w:asciiTheme="minorBidi" w:eastAsia="Times New Roman" w:hAnsiTheme="minorBidi" w:cstheme="minorBidi"/>
          <w:color w:val="000000" w:themeColor="text1"/>
        </w:rPr>
        <w:t>.</w:t>
      </w:r>
    </w:p>
    <w:p w14:paraId="4D85F1FC" w14:textId="77777777" w:rsidR="002D19A8" w:rsidRPr="00720B8F" w:rsidRDefault="002D19A8" w:rsidP="00084E96">
      <w:pPr>
        <w:rPr>
          <w:rFonts w:asciiTheme="minorBidi" w:hAnsiTheme="minorBidi" w:cstheme="minorBidi"/>
        </w:rPr>
      </w:pPr>
    </w:p>
    <w:p w14:paraId="372DCCD4" w14:textId="1EF45D8D" w:rsidR="00084E96" w:rsidRPr="00084E96" w:rsidRDefault="00AA508A" w:rsidP="00705CB8">
      <w:pPr>
        <w:pStyle w:val="Heading2"/>
      </w:pPr>
      <w:bookmarkStart w:id="57" w:name="_Toc69739852"/>
      <w:bookmarkStart w:id="58" w:name="_Toc72945489"/>
      <w:bookmarkStart w:id="59" w:name="_Toc72949605"/>
      <w:bookmarkStart w:id="60" w:name="_Toc72950101"/>
      <w:bookmarkStart w:id="61" w:name="_Toc72999758"/>
      <w:bookmarkStart w:id="62" w:name="_Toc81138425"/>
      <w:bookmarkStart w:id="63" w:name="_Toc83818770"/>
      <w:bookmarkStart w:id="64" w:name="_Toc83819382"/>
      <w:bookmarkStart w:id="65" w:name="_Toc84408407"/>
      <w:r>
        <w:t>I</w:t>
      </w:r>
      <w:r w:rsidR="00AE0BE6">
        <w:t>.</w:t>
      </w:r>
      <w:r w:rsidR="00992A48">
        <w:t>3</w:t>
      </w:r>
      <w:r w:rsidR="00705CB8">
        <w:t>.</w:t>
      </w:r>
      <w:r w:rsidR="00084E96" w:rsidRPr="00084E96">
        <w:t xml:space="preserve"> Health policies and interventions are hardly sufficient to improve </w:t>
      </w:r>
      <w:r w:rsidR="00D77CE8">
        <w:t xml:space="preserve">the </w:t>
      </w:r>
      <w:r w:rsidR="00084E96" w:rsidRPr="00084E96">
        <w:t>health of the socially disadvantaged groups</w:t>
      </w:r>
      <w:bookmarkEnd w:id="57"/>
      <w:bookmarkEnd w:id="58"/>
      <w:bookmarkEnd w:id="59"/>
      <w:bookmarkEnd w:id="60"/>
      <w:bookmarkEnd w:id="61"/>
      <w:bookmarkEnd w:id="62"/>
      <w:bookmarkEnd w:id="63"/>
      <w:bookmarkEnd w:id="64"/>
      <w:bookmarkEnd w:id="65"/>
      <w:r w:rsidR="00084E96" w:rsidRPr="00084E96">
        <w:t xml:space="preserve"> </w:t>
      </w:r>
    </w:p>
    <w:p w14:paraId="04E562F8" w14:textId="51508148" w:rsidR="00CE3775" w:rsidRDefault="00ED1399" w:rsidP="00CE18EC">
      <w:r w:rsidRPr="00ED1399">
        <w:t>There is ample evidence of the extent to which health policies and programs a</w:t>
      </w:r>
      <w:r w:rsidR="00CE18EC">
        <w:t>re successful in addressing ill-</w:t>
      </w:r>
      <w:r w:rsidRPr="00ED1399">
        <w:t>health</w:t>
      </w:r>
      <w:r>
        <w:t>. All</w:t>
      </w:r>
      <w:r w:rsidRPr="00ED1399">
        <w:t xml:space="preserve"> this evidence shows that </w:t>
      </w:r>
      <w:r>
        <w:t>the vulnerable social</w:t>
      </w:r>
      <w:r w:rsidRPr="00ED1399">
        <w:t xml:space="preserve"> groups</w:t>
      </w:r>
      <w:r>
        <w:t xml:space="preserve"> (example the </w:t>
      </w:r>
      <w:r w:rsidR="00682584">
        <w:t>poor</w:t>
      </w:r>
      <w:r>
        <w:t xml:space="preserve">, the uneducated, the unemployed, the rural residents, the female </w:t>
      </w:r>
      <w:proofErr w:type="gramStart"/>
      <w:r>
        <w:t>gender, ..</w:t>
      </w:r>
      <w:proofErr w:type="gramEnd"/>
      <w:r>
        <w:t>)</w:t>
      </w:r>
      <w:r w:rsidR="00CE18EC">
        <w:t xml:space="preserve"> are the most exposed to ill-</w:t>
      </w:r>
      <w:r w:rsidRPr="00ED1399">
        <w:t xml:space="preserve">health, the least </w:t>
      </w:r>
      <w:r>
        <w:t>served</w:t>
      </w:r>
      <w:r w:rsidRPr="00ED1399">
        <w:t xml:space="preserve"> </w:t>
      </w:r>
      <w:r>
        <w:t>by public services including health</w:t>
      </w:r>
      <w:r w:rsidRPr="00ED1399">
        <w:t>care</w:t>
      </w:r>
      <w:r w:rsidR="00CE18EC">
        <w:t xml:space="preserve"> services</w:t>
      </w:r>
      <w:r w:rsidRPr="00ED1399">
        <w:t xml:space="preserve">, and the </w:t>
      </w:r>
      <w:r>
        <w:t xml:space="preserve">most </w:t>
      </w:r>
      <w:r w:rsidR="00EF2E2D">
        <w:t>resistant</w:t>
      </w:r>
      <w:r w:rsidRPr="00ED1399">
        <w:t xml:space="preserve"> to </w:t>
      </w:r>
      <w:r w:rsidR="00CE18EC">
        <w:t>seeking healthcare</w:t>
      </w:r>
      <w:r w:rsidR="003836C4">
        <w:t xml:space="preserve"> (CSDH 2008; WHO 2020; CSDH-EMR 2021)</w:t>
      </w:r>
      <w:r>
        <w:t xml:space="preserve">. </w:t>
      </w:r>
      <w:r w:rsidR="00CE3775">
        <w:t>The growing literature claims that the role of the health policies and programs will remain h</w:t>
      </w:r>
      <w:r w:rsidR="00CE3775" w:rsidRPr="009012FE">
        <w:t>andcuffed</w:t>
      </w:r>
      <w:r w:rsidR="00CE3775">
        <w:t xml:space="preserve"> if not strengthened by the national development efforts and the participation of the “Whole-of-Government” and “Whole-of-Society” policies and actions.</w:t>
      </w:r>
    </w:p>
    <w:p w14:paraId="33EEFD4A" w14:textId="77777777" w:rsidR="00CE3775" w:rsidRDefault="00CE3775" w:rsidP="00CE3775"/>
    <w:p w14:paraId="001CCAB3" w14:textId="703BECE5" w:rsidR="00CE3775" w:rsidRPr="00F81BED" w:rsidRDefault="00CE3775" w:rsidP="00CE18EC">
      <w:pPr>
        <w:rPr>
          <w:sz w:val="23"/>
          <w:szCs w:val="23"/>
        </w:rPr>
      </w:pPr>
      <w:r>
        <w:t xml:space="preserve">Despite </w:t>
      </w:r>
      <w:proofErr w:type="gramStart"/>
      <w:r>
        <w:t>that countries</w:t>
      </w:r>
      <w:proofErr w:type="gramEnd"/>
      <w:r>
        <w:t xml:space="preserve"> have made great progress in </w:t>
      </w:r>
      <w:r w:rsidR="00020FA2">
        <w:t>numerous</w:t>
      </w:r>
      <w:r>
        <w:t xml:space="preserve"> </w:t>
      </w:r>
      <w:r w:rsidR="00020FA2">
        <w:t xml:space="preserve">health </w:t>
      </w:r>
      <w:r>
        <w:t xml:space="preserve">indicators, many inequities in health </w:t>
      </w:r>
      <w:r w:rsidR="003836C4">
        <w:t>persist</w:t>
      </w:r>
      <w:r>
        <w:t xml:space="preserve">. </w:t>
      </w:r>
      <w:r w:rsidR="00CE18EC">
        <w:t xml:space="preserve">This is because the policies and actions are still applying a biomedical model with the health sector as a sole player. </w:t>
      </w:r>
      <w:r w:rsidRPr="00CE3775">
        <w:rPr>
          <w:sz w:val="23"/>
          <w:szCs w:val="23"/>
        </w:rPr>
        <w:t xml:space="preserve">At policy level, MoH, as well as the government as a whole and the public, </w:t>
      </w:r>
      <w:r w:rsidR="00020FA2">
        <w:rPr>
          <w:sz w:val="23"/>
          <w:szCs w:val="23"/>
        </w:rPr>
        <w:t xml:space="preserve">still </w:t>
      </w:r>
      <w:r w:rsidRPr="00CE3775">
        <w:rPr>
          <w:sz w:val="23"/>
          <w:szCs w:val="23"/>
        </w:rPr>
        <w:t xml:space="preserve">do not position health equity as a measure of social success and as a sign of inclusive and fair society adhering to human rights principles. Furthermore, other social sectors are neither invited nor held accountable for shaping health inequities. At program level, health initiatives adopt simplistic conceptualization of the social determinants, reinforcing the monopoly of health sector and undermining the contribution of intersectoral collaborations. Such conceptualization does not allow health programs to achieve their potential impact and to respond to those most in need. The policy level challenge is </w:t>
      </w:r>
      <w:r w:rsidR="00930C6D">
        <w:rPr>
          <w:sz w:val="23"/>
          <w:szCs w:val="23"/>
        </w:rPr>
        <w:t>supported by</w:t>
      </w:r>
      <w:r w:rsidRPr="00CE3775">
        <w:rPr>
          <w:sz w:val="23"/>
          <w:szCs w:val="23"/>
        </w:rPr>
        <w:t xml:space="preserve"> the fact that the existing data do not make visible the inequitable distribution of health conditions and do not adequately link the inequalities of health threats and the unfair social </w:t>
      </w:r>
      <w:r w:rsidRPr="00CE3775">
        <w:rPr>
          <w:sz w:val="23"/>
          <w:szCs w:val="23"/>
        </w:rPr>
        <w:lastRenderedPageBreak/>
        <w:t>arrangements. The program level challenge is due to the difficulty of moving beyond general understanding of why inequities are occurring to identifying what specifically could to be done, at a program level and in a specific context, to address these inequities.</w:t>
      </w:r>
    </w:p>
    <w:p w14:paraId="18599372" w14:textId="4016FCD3" w:rsidR="00ED1399" w:rsidRDefault="00ED1399" w:rsidP="009F4757"/>
    <w:p w14:paraId="4CEDF462" w14:textId="6835CD8A" w:rsidR="00F877B4" w:rsidRDefault="007B55F2" w:rsidP="0007154F">
      <w:pPr>
        <w:pStyle w:val="Heading2"/>
      </w:pPr>
      <w:bookmarkStart w:id="66" w:name="_Toc72945490"/>
      <w:bookmarkStart w:id="67" w:name="_Toc72949606"/>
      <w:bookmarkStart w:id="68" w:name="_Toc72950102"/>
      <w:bookmarkStart w:id="69" w:name="_Toc72999759"/>
      <w:bookmarkStart w:id="70" w:name="_Toc81138426"/>
      <w:bookmarkStart w:id="71" w:name="_Toc83818771"/>
      <w:bookmarkStart w:id="72" w:name="_Toc83819383"/>
      <w:bookmarkStart w:id="73" w:name="_Toc84408408"/>
      <w:r>
        <w:t>I</w:t>
      </w:r>
      <w:r w:rsidR="00F877B4">
        <w:t>.</w:t>
      </w:r>
      <w:r w:rsidR="003836C4">
        <w:t>4</w:t>
      </w:r>
      <w:r w:rsidR="008724C1">
        <w:t>.</w:t>
      </w:r>
      <w:r w:rsidR="00F877B4">
        <w:t xml:space="preserve"> There is</w:t>
      </w:r>
      <w:r w:rsidR="00463BCE">
        <w:t xml:space="preserve"> a global consensus </w:t>
      </w:r>
      <w:r w:rsidR="00EF4340">
        <w:t xml:space="preserve">on </w:t>
      </w:r>
      <w:r w:rsidR="00782B21">
        <w:t xml:space="preserve">the need for </w:t>
      </w:r>
      <w:r w:rsidR="00703E15">
        <w:t>comprehensive and quality data</w:t>
      </w:r>
      <w:r w:rsidR="00EF4340">
        <w:t xml:space="preserve"> for fair policies and actions</w:t>
      </w:r>
      <w:bookmarkEnd w:id="66"/>
      <w:bookmarkEnd w:id="67"/>
      <w:bookmarkEnd w:id="68"/>
      <w:bookmarkEnd w:id="69"/>
      <w:bookmarkEnd w:id="70"/>
      <w:bookmarkEnd w:id="71"/>
      <w:bookmarkEnd w:id="72"/>
      <w:bookmarkEnd w:id="73"/>
      <w:r w:rsidR="00F877B4">
        <w:t xml:space="preserve"> </w:t>
      </w:r>
    </w:p>
    <w:p w14:paraId="1EF30A80" w14:textId="5E790FED" w:rsidR="00224106" w:rsidRDefault="009F794B" w:rsidP="00B96983">
      <w:r>
        <w:t>There is now a clear consensus that the absence of reliable data on key health issues and related SDH compromises the efforts to improve health and promote health equity (</w:t>
      </w:r>
      <w:proofErr w:type="spellStart"/>
      <w:r>
        <w:t>Okonjo</w:t>
      </w:r>
      <w:proofErr w:type="spellEnd"/>
      <w:r>
        <w:rPr>
          <w:rFonts w:ascii="Cambria Math" w:hAnsi="Cambria Math" w:cs="Cambria Math"/>
        </w:rPr>
        <w:t>‐</w:t>
      </w:r>
      <w:r>
        <w:t xml:space="preserve">Iweala &amp; </w:t>
      </w:r>
      <w:proofErr w:type="spellStart"/>
      <w:r>
        <w:t>Osafo</w:t>
      </w:r>
      <w:r>
        <w:rPr>
          <w:rFonts w:ascii="Cambria Math" w:hAnsi="Cambria Math" w:cs="Cambria Math"/>
        </w:rPr>
        <w:t>‐</w:t>
      </w:r>
      <w:r>
        <w:t>Kwaako</w:t>
      </w:r>
      <w:proofErr w:type="spellEnd"/>
      <w:r>
        <w:t xml:space="preserve">, 2007; </w:t>
      </w:r>
      <w:proofErr w:type="spellStart"/>
      <w:r>
        <w:t>Pundo</w:t>
      </w:r>
      <w:proofErr w:type="spellEnd"/>
      <w:r>
        <w:t xml:space="preserve">, </w:t>
      </w:r>
      <w:proofErr w:type="spellStart"/>
      <w:r>
        <w:t>Manya</w:t>
      </w:r>
      <w:proofErr w:type="spellEnd"/>
      <w:r>
        <w:t xml:space="preserve">, Mburu, &amp; </w:t>
      </w:r>
      <w:proofErr w:type="spellStart"/>
      <w:r>
        <w:t>Braa</w:t>
      </w:r>
      <w:proofErr w:type="spellEnd"/>
      <w:r>
        <w:t xml:space="preserve">, 2013). </w:t>
      </w:r>
      <w:r w:rsidR="0041557F">
        <w:t>T</w:t>
      </w:r>
      <w:r w:rsidR="00224106" w:rsidRPr="00224106">
        <w:t xml:space="preserve">he </w:t>
      </w:r>
      <w:r w:rsidR="00624226">
        <w:t xml:space="preserve">need for interdependent policies and actions </w:t>
      </w:r>
      <w:r w:rsidR="00D800A4">
        <w:t xml:space="preserve">for </w:t>
      </w:r>
      <w:r w:rsidR="002E73D0">
        <w:t>achieving the SDGs</w:t>
      </w:r>
      <w:r w:rsidR="00B96983">
        <w:t xml:space="preserve"> and UHC</w:t>
      </w:r>
      <w:r w:rsidR="002E73D0">
        <w:t xml:space="preserve"> </w:t>
      </w:r>
      <w:r w:rsidR="00F553B5">
        <w:t xml:space="preserve">has initiated a global movement </w:t>
      </w:r>
      <w:r w:rsidR="00E07473">
        <w:t>to improve t</w:t>
      </w:r>
      <w:r w:rsidR="00457564">
        <w:t>he availability and quality of data.</w:t>
      </w:r>
      <w:r w:rsidR="00E07473">
        <w:t xml:space="preserve"> </w:t>
      </w:r>
      <w:r w:rsidR="00C20D8E">
        <w:t xml:space="preserve">The </w:t>
      </w:r>
      <w:r w:rsidR="00224106" w:rsidRPr="00224106">
        <w:t>SDGs</w:t>
      </w:r>
      <w:r w:rsidR="0014210B">
        <w:t xml:space="preserve"> </w:t>
      </w:r>
      <w:r w:rsidR="00224106" w:rsidRPr="00224106">
        <w:t xml:space="preserve">in Target 17.18 </w:t>
      </w:r>
      <w:r w:rsidR="00BF164D">
        <w:t xml:space="preserve">stresses </w:t>
      </w:r>
      <w:r w:rsidR="00224106" w:rsidRPr="00224106">
        <w:t>on the need to “</w:t>
      </w:r>
      <w:proofErr w:type="gramStart"/>
      <w:r w:rsidR="00224106" w:rsidRPr="00224106">
        <w:t>….</w:t>
      </w:r>
      <w:r w:rsidR="00224106" w:rsidRPr="00224106">
        <w:rPr>
          <w:b/>
          <w:bCs/>
          <w:i/>
          <w:iCs/>
        </w:rPr>
        <w:t>increase</w:t>
      </w:r>
      <w:proofErr w:type="gramEnd"/>
      <w:r w:rsidR="00224106" w:rsidRPr="00224106">
        <w:rPr>
          <w:b/>
          <w:bCs/>
          <w:i/>
          <w:iCs/>
        </w:rPr>
        <w:t xml:space="preserve"> significantly the availability of high-quality, timely and reliable data disaggregated by income, gender, age, race, ethnicity, migratory status, disability, geographic location and other characteristics relevant in national contexts</w:t>
      </w:r>
      <w:r w:rsidR="00224106" w:rsidRPr="00224106">
        <w:t>”. Specifically, indicator 17.18.1 “</w:t>
      </w:r>
      <w:r w:rsidR="00224106" w:rsidRPr="00224106">
        <w:rPr>
          <w:b/>
          <w:bCs/>
          <w:i/>
          <w:iCs/>
        </w:rPr>
        <w:t>Proportion of sustainable development indicators produced at the national level with full disaggregation when relevant to the target, in accordance with the Fundamental Principles of Official Statistics</w:t>
      </w:r>
      <w:r w:rsidR="00224106" w:rsidRPr="00224106">
        <w:t>”</w:t>
      </w:r>
      <w:r w:rsidR="00DB6233">
        <w:t xml:space="preserve"> </w:t>
      </w:r>
      <w:r w:rsidR="00DB6233" w:rsidRPr="00224106">
        <w:t xml:space="preserve">has </w:t>
      </w:r>
      <w:r w:rsidR="00DB6233">
        <w:t xml:space="preserve">stressed on the importance of information and changed the perspective of using few indicators into producing comprehensive evidence using the full list of SDGs as measure of the national </w:t>
      </w:r>
      <w:r w:rsidR="001C00FB">
        <w:t>success</w:t>
      </w:r>
      <w:r w:rsidR="00DB6233">
        <w:t xml:space="preserve">. </w:t>
      </w:r>
    </w:p>
    <w:p w14:paraId="28E62B50" w14:textId="6678069F" w:rsidR="00F877B4" w:rsidRPr="0077070A" w:rsidRDefault="00F877B4" w:rsidP="0077070A">
      <w:pPr>
        <w:rPr>
          <w:rFonts w:asciiTheme="minorBidi" w:hAnsiTheme="minorBidi" w:cstheme="minorBidi"/>
          <w:color w:val="000000" w:themeColor="text1"/>
        </w:rPr>
      </w:pPr>
    </w:p>
    <w:p w14:paraId="322E60AC" w14:textId="7AAEFD91" w:rsidR="009E1B10" w:rsidRDefault="00F76CC9" w:rsidP="009E1B10">
      <w:r>
        <w:t>In recognition of the need</w:t>
      </w:r>
      <w:r w:rsidR="00014126">
        <w:t xml:space="preserve"> for</w:t>
      </w:r>
      <w:r>
        <w:t xml:space="preserve"> </w:t>
      </w:r>
      <w:r w:rsidR="009E1B10">
        <w:t>reliable</w:t>
      </w:r>
      <w:r w:rsidR="00014126">
        <w:t xml:space="preserve"> data</w:t>
      </w:r>
      <w:r>
        <w:t xml:space="preserve">, many global, </w:t>
      </w:r>
      <w:proofErr w:type="gramStart"/>
      <w:r>
        <w:t>regional</w:t>
      </w:r>
      <w:proofErr w:type="gramEnd"/>
      <w:r>
        <w:t xml:space="preserve"> and national initiatives and strategies were adopted to build sound evidence for decision making. These are carried out under the partnerships between development partners and national governments</w:t>
      </w:r>
      <w:r w:rsidR="009E1B10">
        <w:t xml:space="preserve"> (</w:t>
      </w:r>
      <w:bookmarkStart w:id="74" w:name="_Hlk72415692"/>
      <w:r w:rsidR="009E1B10" w:rsidRPr="00D708EA">
        <w:rPr>
          <w:rFonts w:asciiTheme="minorBidi" w:hAnsiTheme="minorBidi"/>
        </w:rPr>
        <w:t>Sahay</w:t>
      </w:r>
      <w:bookmarkEnd w:id="74"/>
      <w:r w:rsidR="009E1B10">
        <w:rPr>
          <w:rFonts w:asciiTheme="minorBidi" w:hAnsiTheme="minorBidi"/>
        </w:rPr>
        <w:t xml:space="preserve"> et al 2020)</w:t>
      </w:r>
      <w:r>
        <w:t xml:space="preserve">. </w:t>
      </w:r>
      <w:r w:rsidR="009E1B10">
        <w:t>T</w:t>
      </w:r>
      <w:r>
        <w:t>he WHO</w:t>
      </w:r>
      <w:r w:rsidR="009E1B10">
        <w:t>,</w:t>
      </w:r>
      <w:r>
        <w:t xml:space="preserve"> over the years, has taken important steps to strengthen </w:t>
      </w:r>
      <w:r w:rsidR="00014126">
        <w:t xml:space="preserve">the </w:t>
      </w:r>
      <w:r>
        <w:t xml:space="preserve">evidence-informed health </w:t>
      </w:r>
      <w:proofErr w:type="gramStart"/>
      <w:r>
        <w:t>policy-making</w:t>
      </w:r>
      <w:proofErr w:type="gramEnd"/>
      <w:r>
        <w:t>. The WHO in the Fifty-eighth World Health Assembly in 2005 acknowledged that “</w:t>
      </w:r>
      <w:r w:rsidRPr="006769D7">
        <w:rPr>
          <w:b/>
          <w:bCs/>
          <w:i/>
          <w:iCs/>
        </w:rPr>
        <w:t>the generation and application of knowledge are critical for achieving the internationally agreed health-related development goals, including those contained in the United Nations Millennium Declaration, improving the performance of health systems, advancing human development, and attaining equity in health</w:t>
      </w:r>
      <w:r>
        <w:t>”. In the same year</w:t>
      </w:r>
      <w:r w:rsidR="009E1B10">
        <w:t>,</w:t>
      </w:r>
      <w:r>
        <w:t xml:space="preserve"> the Health Metrics Network (HMN) was launched to help countries and other partners improve global health by strengthening the systems that generate health-related information for evidence-based decision-making. Through iterative work, it is intended that the HMN concentrate efforts on strengthening country leadership for health information production and use globally (WHO 2012). </w:t>
      </w:r>
    </w:p>
    <w:p w14:paraId="759DFF5A" w14:textId="77777777" w:rsidR="009E1B10" w:rsidRDefault="009E1B10" w:rsidP="009E1B10"/>
    <w:p w14:paraId="5794F71E" w14:textId="2642AAD9" w:rsidR="009E1B10" w:rsidRPr="0077070A" w:rsidRDefault="009E1B10" w:rsidP="009E1B10">
      <w:pPr>
        <w:rPr>
          <w:rFonts w:asciiTheme="minorBidi" w:hAnsiTheme="minorBidi" w:cstheme="minorBidi"/>
        </w:rPr>
      </w:pPr>
      <w:r w:rsidRPr="001D464B">
        <w:rPr>
          <w:rFonts w:asciiTheme="minorBidi" w:hAnsiTheme="minorBidi" w:cstheme="minorBidi"/>
        </w:rPr>
        <w:t xml:space="preserve">Europe began a comprehensive approach to integrate </w:t>
      </w:r>
      <w:r>
        <w:rPr>
          <w:rFonts w:asciiTheme="minorBidi" w:hAnsiTheme="minorBidi" w:cstheme="minorBidi"/>
        </w:rPr>
        <w:t>SDH</w:t>
      </w:r>
      <w:r w:rsidRPr="001D464B">
        <w:rPr>
          <w:rFonts w:asciiTheme="minorBidi" w:hAnsiTheme="minorBidi" w:cstheme="minorBidi"/>
        </w:rPr>
        <w:t xml:space="preserve"> data into existing surveys</w:t>
      </w:r>
      <w:r>
        <w:rPr>
          <w:rFonts w:asciiTheme="minorBidi" w:hAnsiTheme="minorBidi" w:cstheme="minorBidi"/>
        </w:rPr>
        <w:t xml:space="preserve"> following the</w:t>
      </w:r>
      <w:r w:rsidRPr="001D464B">
        <w:rPr>
          <w:rFonts w:asciiTheme="minorBidi" w:hAnsiTheme="minorBidi" w:cstheme="minorBidi"/>
        </w:rPr>
        <w:t xml:space="preserve"> publication of the </w:t>
      </w:r>
      <w:r>
        <w:rPr>
          <w:rFonts w:asciiTheme="minorBidi" w:hAnsiTheme="minorBidi" w:cstheme="minorBidi"/>
        </w:rPr>
        <w:t xml:space="preserve">CSDH report (CSDH 2008). </w:t>
      </w:r>
      <w:r w:rsidRPr="001D464B">
        <w:rPr>
          <w:rFonts w:asciiTheme="minorBidi" w:hAnsiTheme="minorBidi" w:cstheme="minorBidi"/>
        </w:rPr>
        <w:t xml:space="preserve">In the United States, multiple surveys routinely collect data on SDH as housing, education, and employment. </w:t>
      </w:r>
      <w:r>
        <w:rPr>
          <w:rFonts w:asciiTheme="minorBidi" w:hAnsiTheme="minorBidi" w:cstheme="minorBidi"/>
        </w:rPr>
        <w:t>In several</w:t>
      </w:r>
      <w:r w:rsidRPr="001D464B">
        <w:rPr>
          <w:rFonts w:asciiTheme="minorBidi" w:hAnsiTheme="minorBidi" w:cstheme="minorBidi"/>
        </w:rPr>
        <w:t xml:space="preserve"> </w:t>
      </w:r>
      <w:r>
        <w:rPr>
          <w:rFonts w:asciiTheme="minorBidi" w:hAnsiTheme="minorBidi" w:cstheme="minorBidi"/>
        </w:rPr>
        <w:t>developing countries</w:t>
      </w:r>
      <w:r w:rsidRPr="001D464B">
        <w:rPr>
          <w:rFonts w:asciiTheme="minorBidi" w:hAnsiTheme="minorBidi" w:cstheme="minorBidi"/>
        </w:rPr>
        <w:t xml:space="preserve">, the Living Standards Measurement Survey, supported by the World Bank since 1980, have been one of the main sources of data on education, labor, employment, income, food security, housing conditions, and assets. Demographic and Health Surveys (DHS) are conducted </w:t>
      </w:r>
      <w:r>
        <w:rPr>
          <w:rFonts w:asciiTheme="minorBidi" w:hAnsiTheme="minorBidi" w:cstheme="minorBidi"/>
        </w:rPr>
        <w:t xml:space="preserve">since 1984 </w:t>
      </w:r>
      <w:r w:rsidRPr="001D464B">
        <w:rPr>
          <w:rFonts w:asciiTheme="minorBidi" w:hAnsiTheme="minorBidi" w:cstheme="minorBidi"/>
        </w:rPr>
        <w:t>every five years supported by the United States Agency for International Development (USAID)</w:t>
      </w:r>
      <w:r>
        <w:rPr>
          <w:rFonts w:asciiTheme="minorBidi" w:hAnsiTheme="minorBidi" w:cstheme="minorBidi"/>
        </w:rPr>
        <w:t xml:space="preserve"> and </w:t>
      </w:r>
      <w:r w:rsidRPr="001D464B">
        <w:rPr>
          <w:rFonts w:asciiTheme="minorBidi" w:hAnsiTheme="minorBidi" w:cstheme="minorBidi"/>
        </w:rPr>
        <w:t>cover a range of social determinants including electricity, housing</w:t>
      </w:r>
      <w:r w:rsidR="00014126">
        <w:rPr>
          <w:rFonts w:asciiTheme="minorBidi" w:hAnsiTheme="minorBidi" w:cstheme="minorBidi"/>
        </w:rPr>
        <w:t>,</w:t>
      </w:r>
      <w:r w:rsidRPr="001D464B">
        <w:rPr>
          <w:rFonts w:asciiTheme="minorBidi" w:hAnsiTheme="minorBidi" w:cstheme="minorBidi"/>
        </w:rPr>
        <w:t xml:space="preserve"> wealth, education</w:t>
      </w:r>
      <w:r>
        <w:rPr>
          <w:rFonts w:asciiTheme="minorBidi" w:hAnsiTheme="minorBidi" w:cstheme="minorBidi"/>
        </w:rPr>
        <w:t xml:space="preserve">, </w:t>
      </w:r>
      <w:proofErr w:type="gramStart"/>
      <w:r w:rsidRPr="001D464B">
        <w:rPr>
          <w:rFonts w:asciiTheme="minorBidi" w:hAnsiTheme="minorBidi" w:cstheme="minorBidi"/>
        </w:rPr>
        <w:t>employment</w:t>
      </w:r>
      <w:proofErr w:type="gramEnd"/>
      <w:r w:rsidRPr="001D464B">
        <w:rPr>
          <w:rFonts w:asciiTheme="minorBidi" w:hAnsiTheme="minorBidi" w:cstheme="minorBidi"/>
        </w:rPr>
        <w:t xml:space="preserve"> </w:t>
      </w:r>
      <w:r>
        <w:rPr>
          <w:rFonts w:asciiTheme="minorBidi" w:hAnsiTheme="minorBidi" w:cstheme="minorBidi"/>
        </w:rPr>
        <w:t xml:space="preserve">and many others </w:t>
      </w:r>
      <w:r w:rsidRPr="001D464B">
        <w:rPr>
          <w:rFonts w:asciiTheme="minorBidi" w:hAnsiTheme="minorBidi" w:cstheme="minorBidi"/>
        </w:rPr>
        <w:t>in more than 90 countries in the world</w:t>
      </w:r>
      <w:r>
        <w:rPr>
          <w:rFonts w:asciiTheme="minorBidi" w:hAnsiTheme="minorBidi" w:cstheme="minorBidi"/>
        </w:rPr>
        <w:t>.</w:t>
      </w:r>
    </w:p>
    <w:p w14:paraId="08D9219A" w14:textId="495A1EBC" w:rsidR="009E1B10" w:rsidRDefault="009E1B10" w:rsidP="009E1B10">
      <w:pPr>
        <w:rPr>
          <w:rFonts w:asciiTheme="minorBidi" w:hAnsiTheme="minorBidi" w:cstheme="minorBidi"/>
          <w:color w:val="000000" w:themeColor="text1"/>
        </w:rPr>
      </w:pPr>
    </w:p>
    <w:p w14:paraId="68490FC3" w14:textId="0CEAD369" w:rsidR="00F76CC9" w:rsidRDefault="009E1B10" w:rsidP="009E1B10">
      <w:r w:rsidRPr="0077070A">
        <w:rPr>
          <w:rFonts w:asciiTheme="minorBidi" w:hAnsiTheme="minorBidi" w:cstheme="minorBidi"/>
          <w:color w:val="000000" w:themeColor="text1"/>
        </w:rPr>
        <w:t xml:space="preserve">In 2020, the WHO </w:t>
      </w:r>
      <w:r>
        <w:rPr>
          <w:rFonts w:asciiTheme="minorBidi" w:hAnsiTheme="minorBidi" w:cstheme="minorBidi"/>
          <w:color w:val="000000" w:themeColor="text1"/>
        </w:rPr>
        <w:t xml:space="preserve">Regional Office for Europe </w:t>
      </w:r>
      <w:r w:rsidRPr="0077070A">
        <w:rPr>
          <w:rFonts w:asciiTheme="minorBidi" w:hAnsiTheme="minorBidi" w:cstheme="minorBidi"/>
          <w:color w:val="000000" w:themeColor="text1"/>
        </w:rPr>
        <w:t>revised its principles on data (WHO</w:t>
      </w:r>
      <w:r>
        <w:rPr>
          <w:rFonts w:asciiTheme="minorBidi" w:hAnsiTheme="minorBidi" w:cstheme="minorBidi"/>
          <w:color w:val="000000" w:themeColor="text1"/>
        </w:rPr>
        <w:t xml:space="preserve"> </w:t>
      </w:r>
      <w:r w:rsidRPr="0077070A">
        <w:rPr>
          <w:rFonts w:asciiTheme="minorBidi" w:hAnsiTheme="minorBidi" w:cstheme="minorBidi"/>
          <w:color w:val="000000" w:themeColor="text1"/>
        </w:rPr>
        <w:t>2020), which include the need to treat data as a “</w:t>
      </w:r>
      <w:r w:rsidRPr="0077070A">
        <w:rPr>
          <w:rFonts w:asciiTheme="minorBidi" w:hAnsiTheme="minorBidi" w:cstheme="minorBidi"/>
          <w:b/>
          <w:bCs/>
          <w:i/>
          <w:iCs/>
          <w:color w:val="000000" w:themeColor="text1"/>
        </w:rPr>
        <w:t>public good</w:t>
      </w:r>
      <w:r w:rsidRPr="0077070A">
        <w:rPr>
          <w:rFonts w:asciiTheme="minorBidi" w:hAnsiTheme="minorBidi" w:cstheme="minorBidi"/>
          <w:color w:val="000000" w:themeColor="text1"/>
        </w:rPr>
        <w:t>”, “</w:t>
      </w:r>
      <w:r w:rsidRPr="0077070A">
        <w:rPr>
          <w:rFonts w:asciiTheme="minorBidi" w:hAnsiTheme="minorBidi" w:cstheme="minorBidi"/>
          <w:b/>
          <w:bCs/>
          <w:i/>
          <w:iCs/>
          <w:color w:val="000000" w:themeColor="text1"/>
        </w:rPr>
        <w:t>uphold the highest standards of data protection and respect for human rights</w:t>
      </w:r>
      <w:r w:rsidRPr="0077070A">
        <w:rPr>
          <w:rFonts w:asciiTheme="minorBidi" w:hAnsiTheme="minorBidi" w:cstheme="minorBidi"/>
          <w:color w:val="000000" w:themeColor="text1"/>
        </w:rPr>
        <w:t>”, “</w:t>
      </w:r>
      <w:r w:rsidRPr="0077070A">
        <w:rPr>
          <w:rFonts w:asciiTheme="minorBidi" w:hAnsiTheme="minorBidi" w:cstheme="minorBidi"/>
          <w:b/>
          <w:bCs/>
          <w:i/>
          <w:iCs/>
          <w:color w:val="000000" w:themeColor="text1"/>
        </w:rPr>
        <w:t>support Member States’ data and health information systems capacity</w:t>
      </w:r>
      <w:r w:rsidRPr="0077070A">
        <w:rPr>
          <w:rFonts w:asciiTheme="minorBidi" w:hAnsiTheme="minorBidi" w:cstheme="minorBidi"/>
          <w:color w:val="000000" w:themeColor="text1"/>
        </w:rPr>
        <w:t>”, be a “</w:t>
      </w:r>
      <w:r w:rsidRPr="0077070A">
        <w:rPr>
          <w:rFonts w:asciiTheme="minorBidi" w:hAnsiTheme="minorBidi" w:cstheme="minorBidi"/>
          <w:b/>
          <w:bCs/>
          <w:i/>
          <w:iCs/>
          <w:color w:val="000000" w:themeColor="text1"/>
        </w:rPr>
        <w:t>responsible data manager and steward</w:t>
      </w:r>
      <w:r w:rsidRPr="0077070A">
        <w:rPr>
          <w:rFonts w:asciiTheme="minorBidi" w:hAnsiTheme="minorBidi" w:cstheme="minorBidi"/>
          <w:color w:val="000000" w:themeColor="text1"/>
        </w:rPr>
        <w:t>” and fill public health data gaps using “</w:t>
      </w:r>
      <w:r w:rsidRPr="0077070A">
        <w:rPr>
          <w:rFonts w:asciiTheme="minorBidi" w:hAnsiTheme="minorBidi" w:cstheme="minorBidi"/>
          <w:b/>
          <w:bCs/>
          <w:i/>
          <w:iCs/>
          <w:color w:val="000000" w:themeColor="text1"/>
        </w:rPr>
        <w:t>transparent models and methods</w:t>
      </w:r>
      <w:r w:rsidRPr="0077070A">
        <w:rPr>
          <w:rFonts w:asciiTheme="minorBidi" w:hAnsiTheme="minorBidi" w:cstheme="minorBidi"/>
          <w:color w:val="000000" w:themeColor="text1"/>
        </w:rPr>
        <w:t>” to create “</w:t>
      </w:r>
      <w:r w:rsidRPr="0077070A">
        <w:rPr>
          <w:rFonts w:asciiTheme="minorBidi" w:hAnsiTheme="minorBidi" w:cstheme="minorBidi"/>
          <w:b/>
          <w:bCs/>
          <w:i/>
          <w:iCs/>
          <w:color w:val="000000" w:themeColor="text1"/>
        </w:rPr>
        <w:t>coherent estimates (that may be based on disparate or incomplete sources of data)</w:t>
      </w:r>
      <w:r w:rsidRPr="0077070A">
        <w:rPr>
          <w:rFonts w:asciiTheme="minorBidi" w:hAnsiTheme="minorBidi" w:cstheme="minorBidi"/>
          <w:color w:val="000000" w:themeColor="text1"/>
        </w:rPr>
        <w:t>”.</w:t>
      </w:r>
    </w:p>
    <w:p w14:paraId="7B55D32F" w14:textId="77777777" w:rsidR="00F76CC9" w:rsidRDefault="00F76CC9" w:rsidP="00F76CC9"/>
    <w:p w14:paraId="2693BE58" w14:textId="057C6951" w:rsidR="00F76CC9" w:rsidRDefault="009E1B10" w:rsidP="00152A35">
      <w:r>
        <w:t xml:space="preserve">In 2019, the WHO Eastern Mediterranean Region Office (WHO-EMRO), which hosts most of the </w:t>
      </w:r>
      <w:r w:rsidR="00014126">
        <w:t>Arab</w:t>
      </w:r>
      <w:r>
        <w:t xml:space="preserve"> countries, endorsed the framework for improving the national institutional capacities for evidence informed </w:t>
      </w:r>
      <w:r w:rsidR="00730049">
        <w:t xml:space="preserve">health </w:t>
      </w:r>
      <w:r>
        <w:t xml:space="preserve">policy making in 2020-2024. </w:t>
      </w:r>
      <w:r w:rsidR="00F76CC9">
        <w:t>The CSDH-EMR regional report urged countries of the region to “</w:t>
      </w:r>
      <w:r w:rsidR="00F76CC9" w:rsidRPr="00A34A07">
        <w:rPr>
          <w:b/>
          <w:bCs/>
          <w:i/>
          <w:iCs/>
        </w:rPr>
        <w:t xml:space="preserve">take action on social determinants of health to improve health </w:t>
      </w:r>
      <w:proofErr w:type="gramStart"/>
      <w:r w:rsidR="00F76CC9" w:rsidRPr="00A34A07">
        <w:rPr>
          <w:b/>
          <w:bCs/>
          <w:i/>
          <w:iCs/>
        </w:rPr>
        <w:t>equity</w:t>
      </w:r>
      <w:r w:rsidR="00F76CC9">
        <w:t>“ and</w:t>
      </w:r>
      <w:proofErr w:type="gramEnd"/>
      <w:r w:rsidR="00F76CC9">
        <w:t xml:space="preserve"> to “</w:t>
      </w:r>
      <w:r w:rsidR="00F76CC9" w:rsidRPr="00A34A07">
        <w:rPr>
          <w:b/>
          <w:bCs/>
          <w:i/>
          <w:iCs/>
        </w:rPr>
        <w:t>develop data and monitoring systems to inform evidence-based action on health equity and greater transparency and accountability</w:t>
      </w:r>
      <w:r w:rsidR="00F76CC9">
        <w:t>”.</w:t>
      </w:r>
      <w:r w:rsidR="00730049">
        <w:t xml:space="preserve"> The 3-D commission report </w:t>
      </w:r>
      <w:r w:rsidR="00152A35">
        <w:t>recommended countries to use “</w:t>
      </w:r>
      <w:r w:rsidR="00152A35" w:rsidRPr="00152A35">
        <w:rPr>
          <w:b/>
          <w:bCs/>
        </w:rPr>
        <w:t>all available data resources on the determinants of health to inform decision-making about health</w:t>
      </w:r>
      <w:r w:rsidR="00152A35">
        <w:rPr>
          <w:b/>
          <w:bCs/>
        </w:rPr>
        <w:t>”</w:t>
      </w:r>
      <w:r w:rsidR="00152A35">
        <w:t xml:space="preserve"> and that “</w:t>
      </w:r>
      <w:r w:rsidR="00152A35" w:rsidRPr="00152A35">
        <w:rPr>
          <w:b/>
          <w:bCs/>
        </w:rPr>
        <w:t>data on the social determinants of health should contribute to better, more transparent and more accountable governance</w:t>
      </w:r>
      <w:r w:rsidR="00152A35">
        <w:t>”.</w:t>
      </w:r>
    </w:p>
    <w:p w14:paraId="4A4E00A9" w14:textId="558F1BAD" w:rsidR="00AE0BE6" w:rsidRPr="009E1B10" w:rsidRDefault="00AE0BE6" w:rsidP="009E1B10">
      <w:pPr>
        <w:rPr>
          <w:rFonts w:asciiTheme="minorBidi" w:hAnsiTheme="minorBidi" w:cstheme="minorBidi"/>
          <w:color w:val="000000" w:themeColor="text1"/>
        </w:rPr>
      </w:pPr>
    </w:p>
    <w:p w14:paraId="139470BE" w14:textId="720633D4" w:rsidR="00EC7039" w:rsidRPr="00EC7039" w:rsidRDefault="007B55F2" w:rsidP="00705CB8">
      <w:pPr>
        <w:pStyle w:val="Heading2"/>
      </w:pPr>
      <w:bookmarkStart w:id="75" w:name="_Toc69739854"/>
      <w:bookmarkStart w:id="76" w:name="_Toc72945491"/>
      <w:bookmarkStart w:id="77" w:name="_Toc72949607"/>
      <w:bookmarkStart w:id="78" w:name="_Toc72950103"/>
      <w:bookmarkStart w:id="79" w:name="_Toc72999760"/>
      <w:bookmarkStart w:id="80" w:name="_Toc81138427"/>
      <w:bookmarkStart w:id="81" w:name="_Toc83818772"/>
      <w:bookmarkStart w:id="82" w:name="_Toc83819384"/>
      <w:bookmarkStart w:id="83" w:name="_Toc84408409"/>
      <w:r>
        <w:t>I</w:t>
      </w:r>
      <w:r w:rsidR="00705CB8">
        <w:t>.</w:t>
      </w:r>
      <w:r w:rsidR="008B542B">
        <w:t>5</w:t>
      </w:r>
      <w:r w:rsidR="00705CB8">
        <w:t>.</w:t>
      </w:r>
      <w:r w:rsidR="00EC7039" w:rsidRPr="00EC7039">
        <w:t xml:space="preserve"> </w:t>
      </w:r>
      <w:r w:rsidR="005972E4">
        <w:t>Fai</w:t>
      </w:r>
      <w:r w:rsidR="00597EFB">
        <w:t>r</w:t>
      </w:r>
      <w:r w:rsidR="005C236C">
        <w:t xml:space="preserve"> s</w:t>
      </w:r>
      <w:r w:rsidR="00EC7039" w:rsidRPr="00EC7039">
        <w:t xml:space="preserve">olutions cannot be reached without </w:t>
      </w:r>
      <w:r w:rsidR="006465CF">
        <w:t xml:space="preserve">fair </w:t>
      </w:r>
      <w:r w:rsidR="00EC7039" w:rsidRPr="00EC7039">
        <w:t>evidence</w:t>
      </w:r>
      <w:bookmarkEnd w:id="75"/>
      <w:bookmarkEnd w:id="76"/>
      <w:bookmarkEnd w:id="77"/>
      <w:bookmarkEnd w:id="78"/>
      <w:bookmarkEnd w:id="79"/>
      <w:bookmarkEnd w:id="80"/>
      <w:bookmarkEnd w:id="81"/>
      <w:bookmarkEnd w:id="82"/>
      <w:bookmarkEnd w:id="83"/>
      <w:r w:rsidR="00EC7039" w:rsidRPr="00EC7039">
        <w:t xml:space="preserve"> </w:t>
      </w:r>
    </w:p>
    <w:p w14:paraId="5877AC03" w14:textId="08174C3E" w:rsidR="00F31E92" w:rsidRDefault="00F153EF" w:rsidP="000F1300">
      <w:r w:rsidRPr="00F153EF">
        <w:t>It is not possible to find solutions to health problems without evidence o</w:t>
      </w:r>
      <w:r w:rsidR="00AE38F2">
        <w:t>n</w:t>
      </w:r>
      <w:r w:rsidRPr="00F153EF">
        <w:t xml:space="preserve"> the </w:t>
      </w:r>
      <w:r w:rsidR="00AE38F2">
        <w:t xml:space="preserve">context-specific </w:t>
      </w:r>
      <w:r w:rsidRPr="00F153EF">
        <w:t xml:space="preserve">causes and determinants. </w:t>
      </w:r>
      <w:r w:rsidR="00AE38F2">
        <w:t>This</w:t>
      </w:r>
      <w:r w:rsidRPr="00F153EF">
        <w:t xml:space="preserve"> evidence </w:t>
      </w:r>
      <w:r w:rsidR="00AE38F2">
        <w:t>can be only reached</w:t>
      </w:r>
      <w:r w:rsidRPr="00F153EF">
        <w:t xml:space="preserve"> through building an integrated information system that extends to </w:t>
      </w:r>
      <w:r w:rsidR="00AE38F2">
        <w:t xml:space="preserve">cover the full range of factors responsible for generating ill-health and coincides with the full scope </w:t>
      </w:r>
      <w:r w:rsidRPr="00F153EF">
        <w:t xml:space="preserve">of </w:t>
      </w:r>
      <w:r w:rsidR="00AE38F2">
        <w:t xml:space="preserve">the concepts of </w:t>
      </w:r>
      <w:r w:rsidRPr="00F153EF">
        <w:t>health</w:t>
      </w:r>
      <w:r>
        <w:t>.</w:t>
      </w:r>
      <w:r w:rsidR="00666DF6">
        <w:t xml:space="preserve"> </w:t>
      </w:r>
      <w:r w:rsidR="00395300" w:rsidRPr="00395300">
        <w:t xml:space="preserve">In other words, our lives </w:t>
      </w:r>
      <w:r w:rsidR="00240FE3">
        <w:t>are known</w:t>
      </w:r>
      <w:r w:rsidR="00395300" w:rsidRPr="00395300">
        <w:t xml:space="preserve"> to be shaped by </w:t>
      </w:r>
      <w:r w:rsidR="000F1300">
        <w:t>the</w:t>
      </w:r>
      <w:r w:rsidR="00395300" w:rsidRPr="00395300">
        <w:t xml:space="preserve"> SDH, but the</w:t>
      </w:r>
      <w:r w:rsidR="000F1300">
        <w:t>ir</w:t>
      </w:r>
      <w:r w:rsidR="00395300" w:rsidRPr="00395300">
        <w:t xml:space="preserve"> relevance on a given population’s health will vary based </w:t>
      </w:r>
      <w:r w:rsidR="00395300" w:rsidRPr="00395300">
        <w:lastRenderedPageBreak/>
        <w:t xml:space="preserve">on the population’s context. Additionally, contextual factors will contribute to which populations are the most vulnerable. </w:t>
      </w:r>
      <w:r w:rsidR="000F1300" w:rsidRPr="000F1300">
        <w:t xml:space="preserve">Improving population health through actions on determinants of health can be at the heart of an agenda that aims to </w:t>
      </w:r>
      <w:r w:rsidR="000F1300">
        <w:t xml:space="preserve">produce and </w:t>
      </w:r>
      <w:r w:rsidR="000F1300" w:rsidRPr="000F1300">
        <w:t>use data to improve population health</w:t>
      </w:r>
      <w:r w:rsidR="000F1300">
        <w:t xml:space="preserve"> and promote health equity.</w:t>
      </w:r>
      <w:r w:rsidR="00395300" w:rsidRPr="00395300">
        <w:t xml:space="preserve"> </w:t>
      </w:r>
      <w:r w:rsidR="00EF6E8F">
        <w:t xml:space="preserve">This thinking approach clearly </w:t>
      </w:r>
      <w:r w:rsidR="00592AA7">
        <w:t xml:space="preserve">illustrates the gap in the current HIS </w:t>
      </w:r>
      <w:r w:rsidR="00EF6E8F">
        <w:t xml:space="preserve">goal </w:t>
      </w:r>
      <w:r w:rsidR="00592AA7">
        <w:t>which is</w:t>
      </w:r>
      <w:r w:rsidR="00EF6E8F">
        <w:t xml:space="preserve"> “</w:t>
      </w:r>
      <w:r w:rsidR="00EF6E8F" w:rsidRPr="00EF6E8F">
        <w:rPr>
          <w:b/>
          <w:bCs/>
        </w:rPr>
        <w:t xml:space="preserve">the production of quality data that health system stakeholders can use for making transparent and </w:t>
      </w:r>
      <w:proofErr w:type="gramStart"/>
      <w:r w:rsidR="00EF6E8F" w:rsidRPr="00EF6E8F">
        <w:rPr>
          <w:b/>
          <w:bCs/>
        </w:rPr>
        <w:t>evidence based</w:t>
      </w:r>
      <w:proofErr w:type="gramEnd"/>
      <w:r w:rsidR="00EF6E8F" w:rsidRPr="00EF6E8F">
        <w:rPr>
          <w:b/>
          <w:bCs/>
        </w:rPr>
        <w:t xml:space="preserve"> health system interventions</w:t>
      </w:r>
      <w:r w:rsidR="00EF6E8F">
        <w:t>”</w:t>
      </w:r>
      <w:r w:rsidR="00592AA7">
        <w:t xml:space="preserve">. </w:t>
      </w:r>
    </w:p>
    <w:p w14:paraId="0FFF38F1" w14:textId="77777777" w:rsidR="00F31E92" w:rsidRDefault="00F31E92" w:rsidP="00592AA7"/>
    <w:p w14:paraId="03EA0FB6" w14:textId="45E40F54" w:rsidR="004B6F21" w:rsidRDefault="00592AA7" w:rsidP="00C717B0">
      <w:r>
        <w:t xml:space="preserve">This </w:t>
      </w:r>
      <w:proofErr w:type="gramStart"/>
      <w:r>
        <w:t>narrow</w:t>
      </w:r>
      <w:proofErr w:type="gramEnd"/>
      <w:r w:rsidR="009B768B">
        <w:t xml:space="preserve"> HIS founding</w:t>
      </w:r>
      <w:r>
        <w:t xml:space="preserve"> goal does not allow for encompassing the full range of evidence needed to face the inequities </w:t>
      </w:r>
      <w:r w:rsidR="00A866D9">
        <w:t>in</w:t>
      </w:r>
      <w:r>
        <w:t xml:space="preserve"> health and promote social justice. </w:t>
      </w:r>
      <w:r w:rsidR="00DB11C9">
        <w:t>The SDGs ha</w:t>
      </w:r>
      <w:r w:rsidR="000F1300">
        <w:t xml:space="preserve">ve even provided </w:t>
      </w:r>
      <w:r w:rsidR="00DB11C9">
        <w:t xml:space="preserve">a policy framework </w:t>
      </w:r>
      <w:r w:rsidR="00873B15">
        <w:t xml:space="preserve">that </w:t>
      </w:r>
      <w:r w:rsidR="000F1300">
        <w:t xml:space="preserve">shows clearly that this goal does not hold any more. The SDGs framework </w:t>
      </w:r>
      <w:r w:rsidR="00873B15">
        <w:t xml:space="preserve">illustrates the close interlinkage between </w:t>
      </w:r>
      <w:r w:rsidR="006217BF">
        <w:t>the health goal and the other SDGs</w:t>
      </w:r>
      <w:r w:rsidR="000F1300">
        <w:t xml:space="preserve"> that are not only limited</w:t>
      </w:r>
      <w:r w:rsidR="00014126">
        <w:t xml:space="preserve"> to</w:t>
      </w:r>
      <w:r w:rsidR="000F1300">
        <w:t xml:space="preserve"> health policies and health system interventions</w:t>
      </w:r>
      <w:r w:rsidR="006217BF">
        <w:t xml:space="preserve">. </w:t>
      </w:r>
      <w:r w:rsidR="00607A5E">
        <w:t xml:space="preserve">The COVID-19 pandemic has confirmed in practice this close interlinkages. </w:t>
      </w:r>
      <w:r w:rsidR="006217BF">
        <w:t>Health i</w:t>
      </w:r>
      <w:r w:rsidR="00990441">
        <w:t>s both an in</w:t>
      </w:r>
      <w:r w:rsidR="006217BF">
        <w:t xml:space="preserve">put and outcome </w:t>
      </w:r>
      <w:r w:rsidR="00990441">
        <w:t xml:space="preserve">of the life course social, economic and environment </w:t>
      </w:r>
      <w:r w:rsidR="00284CEF">
        <w:t xml:space="preserve">context. Health targets and indicators </w:t>
      </w:r>
      <w:r w:rsidR="000F1300">
        <w:t xml:space="preserve">are </w:t>
      </w:r>
      <w:r w:rsidR="00284CEF">
        <w:t xml:space="preserve">spread over the full range of SDGs </w:t>
      </w:r>
      <w:proofErr w:type="gramStart"/>
      <w:r w:rsidR="00284CEF">
        <w:t>not only in</w:t>
      </w:r>
      <w:proofErr w:type="gramEnd"/>
      <w:r w:rsidR="00284CEF">
        <w:t xml:space="preserve"> SDG3</w:t>
      </w:r>
      <w:r w:rsidR="006D7CAE">
        <w:t xml:space="preserve">. </w:t>
      </w:r>
      <w:r w:rsidR="000F1300">
        <w:t>Table 1</w:t>
      </w:r>
      <w:r w:rsidR="006D7CAE">
        <w:t xml:space="preserve"> </w:t>
      </w:r>
      <w:r w:rsidR="00B45807">
        <w:t>illustrates the interlinkages between the SDGs and health</w:t>
      </w:r>
      <w:r w:rsidR="00A41C24">
        <w:t>.</w:t>
      </w:r>
    </w:p>
    <w:p w14:paraId="765B2282" w14:textId="06634D07" w:rsidR="00A41C24" w:rsidRDefault="00A41C24" w:rsidP="00C717B0"/>
    <w:p w14:paraId="2A8EBD5E" w14:textId="0BDC06AF" w:rsidR="000F1300" w:rsidRDefault="000F1300" w:rsidP="00A0414B">
      <w:pPr>
        <w:pStyle w:val="Heading4"/>
      </w:pPr>
      <w:r>
        <w:t xml:space="preserve">Table 1: Interlinkages between sustainable development goals and health </w:t>
      </w:r>
    </w:p>
    <w:tbl>
      <w:tblPr>
        <w:tblStyle w:val="TableGrid"/>
        <w:tblW w:w="0" w:type="auto"/>
        <w:tblLook w:val="04A0" w:firstRow="1" w:lastRow="0" w:firstColumn="1" w:lastColumn="0" w:noHBand="0" w:noVBand="1"/>
      </w:tblPr>
      <w:tblGrid>
        <w:gridCol w:w="4675"/>
        <w:gridCol w:w="4675"/>
      </w:tblGrid>
      <w:tr w:rsidR="000F1300" w14:paraId="0F0DFD20" w14:textId="77777777" w:rsidTr="007B55F2">
        <w:tc>
          <w:tcPr>
            <w:tcW w:w="9350" w:type="dxa"/>
            <w:gridSpan w:val="2"/>
            <w:shd w:val="clear" w:color="auto" w:fill="B4C6E7" w:themeFill="accent5" w:themeFillTint="66"/>
          </w:tcPr>
          <w:p w14:paraId="4B5ECDE7" w14:textId="3B1D63B3" w:rsidR="000F1300" w:rsidRDefault="000F1300" w:rsidP="000F1300">
            <w:pPr>
              <w:spacing w:line="240" w:lineRule="auto"/>
            </w:pPr>
            <w:r w:rsidRPr="002C40A3">
              <w:rPr>
                <w:b/>
                <w:bCs/>
              </w:rPr>
              <w:t>Risk Factors for Health (Direct Effect on Health)</w:t>
            </w:r>
          </w:p>
        </w:tc>
      </w:tr>
      <w:tr w:rsidR="00D87564" w14:paraId="2DA030D9" w14:textId="77777777" w:rsidTr="00D87564">
        <w:tc>
          <w:tcPr>
            <w:tcW w:w="4675" w:type="dxa"/>
          </w:tcPr>
          <w:p w14:paraId="0F4040E2" w14:textId="1ED12160" w:rsidR="000F4F54" w:rsidRPr="000F4F54" w:rsidRDefault="000F4F54" w:rsidP="000F1300">
            <w:pPr>
              <w:spacing w:line="240" w:lineRule="auto"/>
            </w:pPr>
            <w:r>
              <w:t xml:space="preserve">2. </w:t>
            </w:r>
            <w:r w:rsidRPr="000F4F54">
              <w:t>Hunger and food security</w:t>
            </w:r>
          </w:p>
          <w:p w14:paraId="2F05D4BA" w14:textId="77777777" w:rsidR="000F4F54" w:rsidRPr="000F4F54" w:rsidRDefault="000F4F54" w:rsidP="000F1300">
            <w:pPr>
              <w:spacing w:line="240" w:lineRule="auto"/>
            </w:pPr>
            <w:r w:rsidRPr="000F4F54">
              <w:t>6. Water and sanitation</w:t>
            </w:r>
          </w:p>
          <w:p w14:paraId="26B45ED0" w14:textId="4319A3B0" w:rsidR="00D87564" w:rsidRDefault="000F4F54" w:rsidP="000F1300">
            <w:pPr>
              <w:spacing w:line="240" w:lineRule="auto"/>
            </w:pPr>
            <w:r w:rsidRPr="000F4F54">
              <w:t>7. Energy</w:t>
            </w:r>
          </w:p>
        </w:tc>
        <w:tc>
          <w:tcPr>
            <w:tcW w:w="4675" w:type="dxa"/>
          </w:tcPr>
          <w:p w14:paraId="6EAA539E" w14:textId="77777777" w:rsidR="002131E4" w:rsidRPr="002131E4" w:rsidRDefault="002131E4" w:rsidP="000F1300">
            <w:pPr>
              <w:spacing w:line="240" w:lineRule="auto"/>
            </w:pPr>
            <w:r w:rsidRPr="002131E4">
              <w:t>11. Cities</w:t>
            </w:r>
          </w:p>
          <w:p w14:paraId="1756BC67" w14:textId="77777777" w:rsidR="002131E4" w:rsidRPr="002131E4" w:rsidRDefault="002131E4" w:rsidP="000F1300">
            <w:pPr>
              <w:spacing w:line="240" w:lineRule="auto"/>
            </w:pPr>
            <w:r w:rsidRPr="002131E4">
              <w:t>13. Climate change</w:t>
            </w:r>
          </w:p>
          <w:p w14:paraId="75867363" w14:textId="77777777" w:rsidR="002131E4" w:rsidRPr="002131E4" w:rsidRDefault="002131E4" w:rsidP="000F1300">
            <w:pPr>
              <w:spacing w:line="240" w:lineRule="auto"/>
            </w:pPr>
            <w:r w:rsidRPr="002131E4">
              <w:t>16. Peaceful and inclusive societies</w:t>
            </w:r>
          </w:p>
          <w:p w14:paraId="70A60F27" w14:textId="77777777" w:rsidR="00D87564" w:rsidRDefault="00D87564" w:rsidP="000F1300">
            <w:pPr>
              <w:spacing w:line="240" w:lineRule="auto"/>
            </w:pPr>
          </w:p>
        </w:tc>
      </w:tr>
      <w:tr w:rsidR="000F1300" w14:paraId="673D6E91" w14:textId="77777777" w:rsidTr="007B55F2">
        <w:tc>
          <w:tcPr>
            <w:tcW w:w="9350" w:type="dxa"/>
            <w:gridSpan w:val="2"/>
            <w:shd w:val="clear" w:color="auto" w:fill="B4C6E7" w:themeFill="accent5" w:themeFillTint="66"/>
          </w:tcPr>
          <w:p w14:paraId="19DA500B" w14:textId="6E96D86B" w:rsidR="000F1300" w:rsidRDefault="000F1300" w:rsidP="000F1300">
            <w:pPr>
              <w:spacing w:line="240" w:lineRule="auto"/>
            </w:pPr>
            <w:r w:rsidRPr="008F6022">
              <w:rPr>
                <w:b/>
                <w:bCs/>
              </w:rPr>
              <w:t>Determinants of Health (Indirect Effect on Health)</w:t>
            </w:r>
          </w:p>
        </w:tc>
      </w:tr>
      <w:tr w:rsidR="00D87564" w14:paraId="4FC720C0" w14:textId="77777777" w:rsidTr="00D87564">
        <w:tc>
          <w:tcPr>
            <w:tcW w:w="4675" w:type="dxa"/>
          </w:tcPr>
          <w:p w14:paraId="17209125" w14:textId="42761C3D" w:rsidR="008F6022" w:rsidRPr="008F6022" w:rsidRDefault="004424A0" w:rsidP="000F1300">
            <w:pPr>
              <w:spacing w:line="240" w:lineRule="auto"/>
            </w:pPr>
            <w:r>
              <w:t xml:space="preserve">1. </w:t>
            </w:r>
            <w:r w:rsidR="008F6022" w:rsidRPr="008F6022">
              <w:t>Poverty</w:t>
            </w:r>
          </w:p>
          <w:p w14:paraId="576CE553" w14:textId="77777777" w:rsidR="008F6022" w:rsidRPr="008F6022" w:rsidRDefault="008F6022" w:rsidP="000F1300">
            <w:pPr>
              <w:spacing w:line="240" w:lineRule="auto"/>
            </w:pPr>
            <w:r w:rsidRPr="008F6022">
              <w:t>4. Education</w:t>
            </w:r>
          </w:p>
          <w:p w14:paraId="07A6736D" w14:textId="77777777" w:rsidR="008F6022" w:rsidRPr="008F6022" w:rsidRDefault="008F6022" w:rsidP="000F1300">
            <w:pPr>
              <w:spacing w:line="240" w:lineRule="auto"/>
            </w:pPr>
            <w:r w:rsidRPr="008F6022">
              <w:t>5. Gender equality</w:t>
            </w:r>
          </w:p>
          <w:p w14:paraId="3AC78FD6" w14:textId="30920829" w:rsidR="00D87564" w:rsidRDefault="008F6022" w:rsidP="000F1300">
            <w:pPr>
              <w:spacing w:line="240" w:lineRule="auto"/>
            </w:pPr>
            <w:r w:rsidRPr="008F6022">
              <w:t>8. Economic growth and employment</w:t>
            </w:r>
          </w:p>
        </w:tc>
        <w:tc>
          <w:tcPr>
            <w:tcW w:w="4675" w:type="dxa"/>
          </w:tcPr>
          <w:p w14:paraId="18F6DECB" w14:textId="1402424D" w:rsidR="004424A0" w:rsidRPr="004424A0" w:rsidRDefault="004424A0" w:rsidP="000F1300">
            <w:pPr>
              <w:spacing w:line="240" w:lineRule="auto"/>
            </w:pPr>
            <w:r>
              <w:t>9</w:t>
            </w:r>
            <w:r w:rsidRPr="004424A0">
              <w:t>. Infrastructure, industrialization, innovation</w:t>
            </w:r>
          </w:p>
          <w:p w14:paraId="51CDBDF4" w14:textId="77777777" w:rsidR="004424A0" w:rsidRPr="004424A0" w:rsidRDefault="004424A0" w:rsidP="000F1300">
            <w:pPr>
              <w:spacing w:line="240" w:lineRule="auto"/>
            </w:pPr>
            <w:r w:rsidRPr="004424A0">
              <w:t>12. Consumption and production</w:t>
            </w:r>
          </w:p>
          <w:p w14:paraId="5CFD19EC" w14:textId="77777777" w:rsidR="004424A0" w:rsidRPr="004424A0" w:rsidRDefault="004424A0" w:rsidP="000F1300">
            <w:pPr>
              <w:spacing w:line="240" w:lineRule="auto"/>
            </w:pPr>
            <w:r w:rsidRPr="004424A0">
              <w:t xml:space="preserve">14.. Oceans, </w:t>
            </w:r>
            <w:proofErr w:type="gramStart"/>
            <w:r w:rsidRPr="004424A0">
              <w:t>seas</w:t>
            </w:r>
            <w:proofErr w:type="gramEnd"/>
            <w:r w:rsidRPr="004424A0">
              <w:t xml:space="preserve"> and marine resources</w:t>
            </w:r>
          </w:p>
          <w:p w14:paraId="14E5D272" w14:textId="3F9ACC36" w:rsidR="00D87564" w:rsidRDefault="004424A0" w:rsidP="000F1300">
            <w:pPr>
              <w:spacing w:line="240" w:lineRule="auto"/>
            </w:pPr>
            <w:r w:rsidRPr="004424A0">
              <w:t>15. Ecosystems</w:t>
            </w:r>
          </w:p>
        </w:tc>
      </w:tr>
      <w:tr w:rsidR="000F1300" w14:paraId="0FE4AF91" w14:textId="77777777" w:rsidTr="007B55F2">
        <w:tc>
          <w:tcPr>
            <w:tcW w:w="9350" w:type="dxa"/>
            <w:gridSpan w:val="2"/>
            <w:shd w:val="clear" w:color="auto" w:fill="B4C6E7" w:themeFill="accent5" w:themeFillTint="66"/>
          </w:tcPr>
          <w:p w14:paraId="2F133BAA" w14:textId="16285F5E" w:rsidR="000F1300" w:rsidRDefault="000F1300" w:rsidP="000F1300">
            <w:pPr>
              <w:spacing w:line="240" w:lineRule="auto"/>
            </w:pPr>
            <w:r w:rsidRPr="00ED6DF6">
              <w:rPr>
                <w:b/>
                <w:bCs/>
              </w:rPr>
              <w:t>Implementation</w:t>
            </w:r>
          </w:p>
        </w:tc>
      </w:tr>
      <w:tr w:rsidR="00D87564" w14:paraId="280FFD16" w14:textId="77777777" w:rsidTr="00D87564">
        <w:tc>
          <w:tcPr>
            <w:tcW w:w="4675" w:type="dxa"/>
          </w:tcPr>
          <w:p w14:paraId="53301A1A" w14:textId="17E1EC8F" w:rsidR="00D87564" w:rsidRDefault="00ED6DF6" w:rsidP="000F1300">
            <w:pPr>
              <w:spacing w:line="240" w:lineRule="auto"/>
            </w:pPr>
            <w:r w:rsidRPr="00ED6DF6">
              <w:t>10. Inequalit</w:t>
            </w:r>
            <w:r>
              <w:t>y</w:t>
            </w:r>
          </w:p>
        </w:tc>
        <w:tc>
          <w:tcPr>
            <w:tcW w:w="4675" w:type="dxa"/>
          </w:tcPr>
          <w:p w14:paraId="77663BC5" w14:textId="513CD927" w:rsidR="00D87564" w:rsidRDefault="00ED6DF6" w:rsidP="000F1300">
            <w:pPr>
              <w:spacing w:line="240" w:lineRule="auto"/>
            </w:pPr>
            <w:r w:rsidRPr="00ED6DF6">
              <w:t>17. Global partnerships</w:t>
            </w:r>
          </w:p>
        </w:tc>
      </w:tr>
    </w:tbl>
    <w:p w14:paraId="033A9845" w14:textId="77777777" w:rsidR="004B6F21" w:rsidRDefault="004B6F21" w:rsidP="00C717B0"/>
    <w:p w14:paraId="70AA0AC0" w14:textId="51D6FCAE" w:rsidR="000F1300" w:rsidRDefault="00592AA7" w:rsidP="00C717B0">
      <w:pPr>
        <w:rPr>
          <w:b/>
          <w:bCs/>
        </w:rPr>
      </w:pPr>
      <w:r>
        <w:t xml:space="preserve">It </w:t>
      </w:r>
      <w:r w:rsidR="0096585E">
        <w:t xml:space="preserve">became evident that the time has come </w:t>
      </w:r>
      <w:r>
        <w:t>for</w:t>
      </w:r>
      <w:r w:rsidR="000F1300">
        <w:t xml:space="preserve"> a paradigm shift in thinking information system</w:t>
      </w:r>
      <w:r w:rsidR="00224B22">
        <w:t>s</w:t>
      </w:r>
      <w:r w:rsidR="00F563DC">
        <w:t xml:space="preserve"> and broadening its</w:t>
      </w:r>
      <w:r w:rsidR="000F1300">
        <w:t xml:space="preserve"> goal </w:t>
      </w:r>
      <w:r w:rsidR="00F563DC">
        <w:t>and role in alignment with</w:t>
      </w:r>
      <w:r w:rsidR="000F1300">
        <w:t xml:space="preserve"> the global </w:t>
      </w:r>
      <w:r w:rsidR="00F563DC">
        <w:t>direction</w:t>
      </w:r>
      <w:r w:rsidR="000F1300">
        <w:t xml:space="preserve">. </w:t>
      </w:r>
    </w:p>
    <w:p w14:paraId="1B2E90AB" w14:textId="3300838D" w:rsidR="004050C3" w:rsidRPr="00C717B0" w:rsidRDefault="004050C3" w:rsidP="00C717B0">
      <w:pPr>
        <w:rPr>
          <w:b/>
          <w:bCs/>
        </w:rPr>
      </w:pPr>
      <w:r>
        <w:br w:type="page"/>
      </w:r>
    </w:p>
    <w:p w14:paraId="533292C0" w14:textId="2319C4B8" w:rsidR="00AC24E0" w:rsidRDefault="004050C3" w:rsidP="004050C3">
      <w:pPr>
        <w:pStyle w:val="Heading1"/>
      </w:pPr>
      <w:bookmarkStart w:id="84" w:name="_Toc81138428"/>
      <w:bookmarkStart w:id="85" w:name="_Toc83818773"/>
      <w:bookmarkStart w:id="86" w:name="_Toc83819385"/>
      <w:bookmarkStart w:id="87" w:name="_Toc84408410"/>
      <w:bookmarkStart w:id="88" w:name="_Toc72945492"/>
      <w:bookmarkStart w:id="89" w:name="_Toc72949608"/>
      <w:bookmarkStart w:id="90" w:name="_Toc72950104"/>
      <w:bookmarkStart w:id="91" w:name="_Toc72999761"/>
      <w:bookmarkStart w:id="92" w:name="_Toc69739855"/>
      <w:r>
        <w:lastRenderedPageBreak/>
        <w:t xml:space="preserve">Part </w:t>
      </w:r>
      <w:r w:rsidR="0057155F">
        <w:t>Two</w:t>
      </w:r>
      <w:r>
        <w:t>:</w:t>
      </w:r>
      <w:r w:rsidR="006754A6">
        <w:t xml:space="preserve"> </w:t>
      </w:r>
      <w:r w:rsidR="00AC24E0">
        <w:t xml:space="preserve">Gaps and </w:t>
      </w:r>
      <w:r w:rsidR="00055FD4">
        <w:t>c</w:t>
      </w:r>
      <w:r w:rsidR="00AC24E0">
        <w:t xml:space="preserve">hallenges in the </w:t>
      </w:r>
      <w:r w:rsidR="00055FD4">
        <w:t>h</w:t>
      </w:r>
      <w:r w:rsidR="00AC24E0">
        <w:t xml:space="preserve">ealth </w:t>
      </w:r>
      <w:r w:rsidR="00055FD4">
        <w:t>i</w:t>
      </w:r>
      <w:r w:rsidR="00AC24E0">
        <w:t xml:space="preserve">nformation </w:t>
      </w:r>
      <w:r w:rsidR="00055FD4">
        <w:t>s</w:t>
      </w:r>
      <w:r w:rsidR="00AC24E0">
        <w:t>ystems</w:t>
      </w:r>
      <w:bookmarkEnd w:id="84"/>
      <w:bookmarkEnd w:id="85"/>
      <w:bookmarkEnd w:id="86"/>
      <w:bookmarkEnd w:id="87"/>
      <w:r w:rsidR="007A1EED">
        <w:t xml:space="preserve"> </w:t>
      </w:r>
      <w:bookmarkEnd w:id="88"/>
      <w:bookmarkEnd w:id="89"/>
      <w:bookmarkEnd w:id="90"/>
      <w:bookmarkEnd w:id="91"/>
    </w:p>
    <w:p w14:paraId="4C529918" w14:textId="52A19300" w:rsidR="0057155F" w:rsidRDefault="0057155F" w:rsidP="0057155F">
      <w:r>
        <w:t xml:space="preserve">This part </w:t>
      </w:r>
      <w:r w:rsidR="00240FE3">
        <w:t xml:space="preserve">draws on the synthesis of literature </w:t>
      </w:r>
      <w:r w:rsidR="006608CA">
        <w:t>and on existing efforts for strengthening HIS</w:t>
      </w:r>
      <w:r w:rsidR="009E6058">
        <w:t xml:space="preserve"> (Annexes A and B)</w:t>
      </w:r>
      <w:r w:rsidR="006608CA">
        <w:t xml:space="preserve">. It </w:t>
      </w:r>
      <w:r>
        <w:t xml:space="preserve">attempts to identify the gaps in the current </w:t>
      </w:r>
      <w:r w:rsidR="00360EAD">
        <w:t>HIS</w:t>
      </w:r>
      <w:r>
        <w:t xml:space="preserve">, as well as the challenges that need to be addressed to support the mainstreaming of SDH and </w:t>
      </w:r>
      <w:r w:rsidR="00360EAD">
        <w:t>health equity</w:t>
      </w:r>
      <w:r>
        <w:t xml:space="preserve">. Such mainstreaming </w:t>
      </w:r>
      <w:r w:rsidR="00360EAD">
        <w:t xml:space="preserve">paves the way for </w:t>
      </w:r>
      <w:r>
        <w:t>the required equity sensitive information system for health.</w:t>
      </w:r>
      <w:r w:rsidR="00240FE3">
        <w:t xml:space="preserve"> </w:t>
      </w:r>
    </w:p>
    <w:p w14:paraId="17C819C5" w14:textId="71B9721B" w:rsidR="0057155F" w:rsidRDefault="0057155F" w:rsidP="0057155F"/>
    <w:p w14:paraId="5068E104" w14:textId="30204B2B" w:rsidR="0057155F" w:rsidRDefault="0057155F" w:rsidP="0057155F">
      <w:r>
        <w:t xml:space="preserve">This part is divided into </w:t>
      </w:r>
      <w:r w:rsidR="001C3812">
        <w:t>three</w:t>
      </w:r>
      <w:r>
        <w:t xml:space="preserve"> sections. The first section describes the gaps in the global </w:t>
      </w:r>
      <w:r w:rsidR="00360EAD">
        <w:t>HIS</w:t>
      </w:r>
      <w:r>
        <w:t xml:space="preserve">. </w:t>
      </w:r>
      <w:r w:rsidR="001C3812">
        <w:t>The second</w:t>
      </w:r>
      <w:r>
        <w:t xml:space="preserve"> section describes the gaps in the </w:t>
      </w:r>
      <w:r w:rsidR="00360EAD">
        <w:t xml:space="preserve">HIS </w:t>
      </w:r>
      <w:r>
        <w:t xml:space="preserve">of the Arab region. The </w:t>
      </w:r>
      <w:r w:rsidR="001C3812">
        <w:t>third</w:t>
      </w:r>
      <w:r>
        <w:t xml:space="preserve"> section discusses the challenges in proposing an equity sensitive information system for health</w:t>
      </w:r>
      <w:r w:rsidR="006608CA">
        <w:t>.</w:t>
      </w:r>
    </w:p>
    <w:p w14:paraId="37F5B3A1" w14:textId="77777777" w:rsidR="00DD0EBD" w:rsidRPr="0057155F" w:rsidRDefault="00DD0EBD" w:rsidP="00DD0EBD"/>
    <w:p w14:paraId="31F3F6D2" w14:textId="7A4075C0" w:rsidR="006754A6" w:rsidRPr="00010E8C" w:rsidRDefault="00010E8C" w:rsidP="00010E8C">
      <w:pPr>
        <w:pStyle w:val="Heading2"/>
      </w:pPr>
      <w:bookmarkStart w:id="93" w:name="_Toc72945493"/>
      <w:bookmarkStart w:id="94" w:name="_Toc72949609"/>
      <w:bookmarkStart w:id="95" w:name="_Toc72950105"/>
      <w:bookmarkStart w:id="96" w:name="_Toc72999762"/>
      <w:bookmarkStart w:id="97" w:name="_Toc81138429"/>
      <w:bookmarkStart w:id="98" w:name="_Toc83818774"/>
      <w:bookmarkStart w:id="99" w:name="_Toc83819386"/>
      <w:bookmarkStart w:id="100" w:name="_Toc84408411"/>
      <w:r w:rsidRPr="00010E8C">
        <w:t>II.</w:t>
      </w:r>
      <w:r w:rsidR="001C3812">
        <w:t>1</w:t>
      </w:r>
      <w:r w:rsidR="00D340CC">
        <w:t>.</w:t>
      </w:r>
      <w:r w:rsidR="00AC24E0" w:rsidRPr="00010E8C">
        <w:t xml:space="preserve"> </w:t>
      </w:r>
      <w:r w:rsidR="00060E13" w:rsidRPr="00010E8C">
        <w:t>Gaps</w:t>
      </w:r>
      <w:r w:rsidR="006754A6" w:rsidRPr="00010E8C">
        <w:t xml:space="preserve"> in the global </w:t>
      </w:r>
      <w:r w:rsidR="00812776" w:rsidRPr="00010E8C">
        <w:t xml:space="preserve">health </w:t>
      </w:r>
      <w:r w:rsidR="004050C3" w:rsidRPr="00010E8C">
        <w:t>information systems</w:t>
      </w:r>
      <w:bookmarkEnd w:id="92"/>
      <w:bookmarkEnd w:id="93"/>
      <w:bookmarkEnd w:id="94"/>
      <w:bookmarkEnd w:id="95"/>
      <w:bookmarkEnd w:id="96"/>
      <w:bookmarkEnd w:id="97"/>
      <w:bookmarkEnd w:id="98"/>
      <w:bookmarkEnd w:id="99"/>
      <w:bookmarkEnd w:id="100"/>
    </w:p>
    <w:p w14:paraId="0F1C3E68" w14:textId="77777777" w:rsidR="00213CB6" w:rsidRDefault="00213CB6" w:rsidP="00213CB6"/>
    <w:p w14:paraId="0E62C029" w14:textId="0B7BE640" w:rsidR="00010E8C" w:rsidRDefault="00010E8C" w:rsidP="00010E8C">
      <w:pPr>
        <w:pStyle w:val="Heading3"/>
      </w:pPr>
      <w:r>
        <w:t>II.</w:t>
      </w:r>
      <w:r w:rsidR="001C3812">
        <w:t>1</w:t>
      </w:r>
      <w:r>
        <w:t>.1</w:t>
      </w:r>
      <w:r w:rsidR="00AD2466">
        <w:t>.</w:t>
      </w:r>
      <w:r>
        <w:t xml:space="preserve"> The health systems’ monitoring and evaluation frameworks do not apply an SDH framing.</w:t>
      </w:r>
    </w:p>
    <w:p w14:paraId="313DBB52" w14:textId="55A70068" w:rsidR="00010E8C" w:rsidRDefault="00010E8C" w:rsidP="00010E8C">
      <w:r>
        <w:t>The commonly adopted frameworks for monitoring and evaluation (M&amp;E) of the health system follow a simplistic health program narrow activities and outcomes. An example is the results framework of the WHO Health Systems Strengthening (WHO-HSS) (WHO 2009). This framework has a narrow disease-specific and health interventions focus. It only directs monitoring of health system to show how inputs to the health system (resources, infrastructure etc.) are reflected in outputs (such as availability of services and interventions) and eventual outcomes and impact including use of services and better health status. This results chain framework gets translated into the traditional narrowly conceptualized HIS. A system that does not allow for supporting the stewardship role of the health system or alerting other non-health sectors to the unfairness in their policies and interventions.</w:t>
      </w:r>
    </w:p>
    <w:p w14:paraId="2848116E" w14:textId="77777777" w:rsidR="00010E8C" w:rsidRDefault="00010E8C" w:rsidP="00010E8C">
      <w:r>
        <w:t xml:space="preserve"> </w:t>
      </w:r>
    </w:p>
    <w:p w14:paraId="6FD17E3A" w14:textId="67E6643E" w:rsidR="00010E8C" w:rsidRDefault="00010E8C" w:rsidP="00010E8C">
      <w:r>
        <w:t>A</w:t>
      </w:r>
      <w:r w:rsidR="00265354">
        <w:t>n opportunity that can be built upon is the</w:t>
      </w:r>
      <w:r>
        <w:t xml:space="preserve"> SDH sensitive monitoring framework was provided by WHO in 2016 (WHO-b 2016). This framework includes two dimensions as follows:</w:t>
      </w:r>
    </w:p>
    <w:p w14:paraId="52E46C08" w14:textId="4C936BA4" w:rsidR="00010E8C" w:rsidRDefault="00010E8C" w:rsidP="00010E8C">
      <w:pPr>
        <w:pStyle w:val="ListParagraph"/>
        <w:numPr>
          <w:ilvl w:val="2"/>
          <w:numId w:val="1"/>
        </w:numPr>
        <w:ind w:left="720"/>
      </w:pPr>
      <w:r w:rsidRPr="00010E8C">
        <w:rPr>
          <w:b/>
          <w:bCs/>
        </w:rPr>
        <w:t>Monitoring SDH actions</w:t>
      </w:r>
      <w:r>
        <w:t xml:space="preserve">: the SDH actions are defined as governance, policy or program interventions aimed at improving the social gradient in the conditions of health. With the aim of addressing the health inequities, these SDH actions have been the center of attention in both the report of the CSDH (CSDH 2008) and the Rio Political Declaration (WHO 2011). This focus was clearly justified by the urgency to take actions to tackle </w:t>
      </w:r>
      <w:r>
        <w:lastRenderedPageBreak/>
        <w:t xml:space="preserve">inequities and to move away from the sectoral nature of the programs and interventions currently implemented </w:t>
      </w:r>
      <w:proofErr w:type="gramStart"/>
      <w:r>
        <w:t>in the area of</w:t>
      </w:r>
      <w:proofErr w:type="gramEnd"/>
      <w:r>
        <w:t xml:space="preserve"> health equity.  </w:t>
      </w:r>
    </w:p>
    <w:p w14:paraId="20115D94" w14:textId="404B8582" w:rsidR="00010E8C" w:rsidRDefault="00010E8C" w:rsidP="00010E8C">
      <w:pPr>
        <w:pStyle w:val="ListParagraph"/>
        <w:numPr>
          <w:ilvl w:val="2"/>
          <w:numId w:val="1"/>
        </w:numPr>
        <w:ind w:left="720"/>
      </w:pPr>
      <w:r w:rsidRPr="00010E8C">
        <w:rPr>
          <w:b/>
          <w:bCs/>
        </w:rPr>
        <w:t>Monitoring SDH conditions</w:t>
      </w:r>
      <w:r>
        <w:t xml:space="preserve">: the SDH conditions are defined as the set of power, </w:t>
      </w:r>
      <w:proofErr w:type="gramStart"/>
      <w:r>
        <w:t>resources</w:t>
      </w:r>
      <w:proofErr w:type="gramEnd"/>
      <w:r>
        <w:t xml:space="preserve"> and money capacities that individuals need to produce health and that facilitate access to health services. These conditions are linked together to impact health outcomes namely equity in population health. SDH conditions are considered the base upon which the design of health interventions and public health programs are built. These conditions also provide clear assessment of the impact of the SDH actions.</w:t>
      </w:r>
    </w:p>
    <w:p w14:paraId="553FB51B" w14:textId="575B3843" w:rsidR="00010E8C" w:rsidRDefault="00010E8C" w:rsidP="00010E8C"/>
    <w:p w14:paraId="75A4F7B2" w14:textId="578CD22A" w:rsidR="00010E8C" w:rsidRDefault="002D31FB" w:rsidP="002D31FB">
      <w:pPr>
        <w:pStyle w:val="Heading3"/>
      </w:pPr>
      <w:r>
        <w:t>II.</w:t>
      </w:r>
      <w:r w:rsidR="001C3812">
        <w:t>1</w:t>
      </w:r>
      <w:r w:rsidR="00010E8C">
        <w:t>.2</w:t>
      </w:r>
      <w:r w:rsidR="00AD2466">
        <w:t>.</w:t>
      </w:r>
      <w:r w:rsidR="00010E8C">
        <w:t xml:space="preserve"> The global databases provide wealth of in</w:t>
      </w:r>
      <w:r>
        <w:t>d</w:t>
      </w:r>
      <w:r w:rsidR="00010E8C">
        <w:t>icators</w:t>
      </w:r>
    </w:p>
    <w:p w14:paraId="54BF6C36" w14:textId="72446800" w:rsidR="00010E8C" w:rsidRDefault="00010E8C" w:rsidP="00010E8C">
      <w:r>
        <w:t xml:space="preserve">Numerous international databases are available and accessible. They present a wealth of data on many health-related aspects. </w:t>
      </w:r>
      <w:r w:rsidR="00265354">
        <w:t xml:space="preserve">The combination of indicators from more than one database could help in providing a more comprehensive picture of a country. </w:t>
      </w:r>
      <w:r>
        <w:t xml:space="preserve">Examples are the WHO Global Health Observatory; The World Bank World Development </w:t>
      </w:r>
      <w:r w:rsidR="007A37EF">
        <w:t>and SDGs Observatories</w:t>
      </w:r>
      <w:r>
        <w:t xml:space="preserve">; </w:t>
      </w:r>
      <w:r w:rsidR="007A37EF">
        <w:t xml:space="preserve">the </w:t>
      </w:r>
      <w:r>
        <w:t>United Nations Department of Economic and Social Affairs Statistics Division</w:t>
      </w:r>
      <w:r w:rsidR="007A37EF">
        <w:t>;</w:t>
      </w:r>
      <w:r>
        <w:t xml:space="preserve"> The UN SDGs database; the Global Health Data Exchange (</w:t>
      </w:r>
      <w:proofErr w:type="spellStart"/>
      <w:r>
        <w:t>GHDx</w:t>
      </w:r>
      <w:proofErr w:type="spellEnd"/>
      <w:r>
        <w:t>); the UNICEF Data for Monitoring the situation of children and women; The global burden of disease database and many others</w:t>
      </w:r>
      <w:r w:rsidR="008916DD">
        <w:t xml:space="preserve"> (Annex B1)</w:t>
      </w:r>
      <w:r>
        <w:t>.</w:t>
      </w:r>
    </w:p>
    <w:p w14:paraId="4EA739E5" w14:textId="77777777" w:rsidR="00010E8C" w:rsidRDefault="00010E8C" w:rsidP="00010E8C">
      <w:r>
        <w:t xml:space="preserve"> </w:t>
      </w:r>
    </w:p>
    <w:p w14:paraId="0064DDB6" w14:textId="5ECD6441" w:rsidR="00010E8C" w:rsidRDefault="00010E8C" w:rsidP="00010E8C">
      <w:r>
        <w:t xml:space="preserve">These databases include over 1,000 indicators on mortality, </w:t>
      </w:r>
      <w:proofErr w:type="gramStart"/>
      <w:r>
        <w:t>morbidity</w:t>
      </w:r>
      <w:proofErr w:type="gramEnd"/>
      <w:r>
        <w:t xml:space="preserve"> and risk factors. They also cover health system indicators. Social indicators illustrating the living conditions are also available. All indicators have their metadata with clear definition and standard methodology. They allow for comparison between countries, as well as illustrate and compare progress over time in health indicators. All international databases have incorporated the full list of indicators of the SDGs. </w:t>
      </w:r>
    </w:p>
    <w:p w14:paraId="389A4897" w14:textId="77777777" w:rsidR="00010E8C" w:rsidRDefault="00010E8C" w:rsidP="00010E8C">
      <w:r>
        <w:t xml:space="preserve"> </w:t>
      </w:r>
    </w:p>
    <w:p w14:paraId="11DF888D" w14:textId="09D2FBE9" w:rsidR="00010E8C" w:rsidRDefault="00010E8C" w:rsidP="00010E8C">
      <w:r>
        <w:t>It is worth mentioning that the United Nations Development Program (UNDP), Regional Bureau for Arab States (RBAS) launched The Arab Development Portal (ADP) since April 2016, as a bilingual data warehouse and knowledge platform</w:t>
      </w:r>
      <w:r w:rsidR="00BE1BCE">
        <w:t xml:space="preserve"> (</w:t>
      </w:r>
      <w:r w:rsidR="00BE1BCE" w:rsidRPr="00BE1BCE">
        <w:t>https://data.arabdevelopmentportal.com/</w:t>
      </w:r>
      <w:r w:rsidR="00BE1BCE">
        <w:t>)</w:t>
      </w:r>
      <w:r>
        <w:t xml:space="preserve">. ADP offers data and knowledge, from national and international sources, on key development topics in the Arab Region. It aims at filling the data gaps and producing the essential evidence to guide policies and actions on </w:t>
      </w:r>
      <w:r w:rsidR="00265354">
        <w:t>development</w:t>
      </w:r>
      <w:r>
        <w:t xml:space="preserve"> in the Arab region.</w:t>
      </w:r>
    </w:p>
    <w:p w14:paraId="478633DB" w14:textId="77777777" w:rsidR="00010E8C" w:rsidRDefault="00010E8C" w:rsidP="00010E8C">
      <w:r>
        <w:t xml:space="preserve"> </w:t>
      </w:r>
    </w:p>
    <w:p w14:paraId="02EEC68F" w14:textId="58EC733E" w:rsidR="00DA32E8" w:rsidRDefault="00010E8C" w:rsidP="00010E8C">
      <w:r>
        <w:t xml:space="preserve">These databases are quite </w:t>
      </w:r>
      <w:r w:rsidR="00B21C60">
        <w:t>valuable and</w:t>
      </w:r>
      <w:r>
        <w:t xml:space="preserve"> are helpful in guiding the selection of the package of indicators. However, the following features need to be noted. First, these datasets do not follow </w:t>
      </w:r>
      <w:r>
        <w:lastRenderedPageBreak/>
        <w:t>a standard classification. They are either presented under different themes or categories that differ from one data set to the other or are arranged in an alphabetic order. Second, data on several indicators are not available. This is particularly true for Arab countries, including the rich Gulf Cooperation Council (GCC) countries. This is because they are either not collected, or they are collected but not calculated in the required standard international manner or they are available but not shared (WHO 2012; Sahay et al 2020). Third, inconsistencies between the international databases for similar indicators may exist. This is because the various databases may rely on different data resources or are provided by different reporting authorities in the national counterparts. Fourth, most of the available data present national averages. The disaggregation by social groupings is hardly available for Arab countries in international databases.</w:t>
      </w:r>
    </w:p>
    <w:p w14:paraId="7B0955B3" w14:textId="30299F67" w:rsidR="00265354" w:rsidRDefault="00265354" w:rsidP="00010E8C"/>
    <w:p w14:paraId="47D4F122" w14:textId="7ED06AA4" w:rsidR="00265354" w:rsidRDefault="00265354" w:rsidP="00010E8C">
      <w:r>
        <w:t>A key challenge is utilizing the international database is discussed in the following section.</w:t>
      </w:r>
    </w:p>
    <w:p w14:paraId="55559BCB" w14:textId="0CA5D6C3" w:rsidR="0014519B" w:rsidRDefault="0014519B" w:rsidP="009F4757"/>
    <w:p w14:paraId="602E1731" w14:textId="2D6B293E" w:rsidR="002D31FB" w:rsidRDefault="002D31FB" w:rsidP="002D31FB">
      <w:pPr>
        <w:pStyle w:val="Heading3"/>
      </w:pPr>
      <w:r>
        <w:t>II.</w:t>
      </w:r>
      <w:r w:rsidR="001C3812">
        <w:t>1</w:t>
      </w:r>
      <w:r>
        <w:t>.3. The international databases do not capture the equity framing.</w:t>
      </w:r>
    </w:p>
    <w:p w14:paraId="633C8C30" w14:textId="77777777" w:rsidR="002D31FB" w:rsidRDefault="002D31FB" w:rsidP="002D31FB">
      <w:r>
        <w:t>The equity framing postulates a linkage between the unfairness in the distribution of structural social determinants and the inequalities in the distribution of health outcomes. The international data bases lack data on SDH, their distribution, and on health-related outcomes disaggregated by social groupings. These are the minimum set of data to allow investigating the equity framing.</w:t>
      </w:r>
    </w:p>
    <w:p w14:paraId="24DB0207" w14:textId="77777777" w:rsidR="002D31FB" w:rsidRDefault="002D31FB" w:rsidP="002D31FB">
      <w:r>
        <w:t>Also, almost all databases have no specific section on monitoring inequalities in health. An exception is noted in the WHO Global Health Observatory which include a specific section “Health Equity Monitor Database”. This section reports data on reproductive health interventions; maternal health interventions; Newborn and child health interventions; composite coverage index of reproductive, maternal newborn and child health (RMNCH) interventions and Health outcomes. However, most of the data, notably for countries in the Arab region are not available or outdated. When they are available, they just illustrate inequalities by few social groupings.</w:t>
      </w:r>
    </w:p>
    <w:p w14:paraId="00E9924D" w14:textId="77777777" w:rsidR="002D31FB" w:rsidRDefault="002D31FB" w:rsidP="002D31FB">
      <w:r>
        <w:t xml:space="preserve"> </w:t>
      </w:r>
    </w:p>
    <w:p w14:paraId="512CB99A" w14:textId="18B528A9" w:rsidR="002D31FB" w:rsidRPr="00265354" w:rsidRDefault="002D31FB" w:rsidP="002D31FB">
      <w:pPr>
        <w:rPr>
          <w:b/>
          <w:bCs/>
        </w:rPr>
      </w:pPr>
      <w:r w:rsidRPr="00265354">
        <w:rPr>
          <w:b/>
          <w:bCs/>
        </w:rPr>
        <w:t xml:space="preserve">Thus, from the available international databases, it is hard to capture the inequalities in health or identify the vulnerable </w:t>
      </w:r>
      <w:r w:rsidR="001C3812" w:rsidRPr="00265354">
        <w:rPr>
          <w:b/>
          <w:bCs/>
        </w:rPr>
        <w:t>populations and</w:t>
      </w:r>
      <w:r w:rsidRPr="00265354">
        <w:rPr>
          <w:b/>
          <w:bCs/>
        </w:rPr>
        <w:t xml:space="preserve"> draw information on the distribution of social determinants. Further, the link of the health outcomes to their different multilevel structural social determinants is difficult to infer.</w:t>
      </w:r>
    </w:p>
    <w:p w14:paraId="132F752B" w14:textId="77777777" w:rsidR="002D31FB" w:rsidRDefault="002D31FB" w:rsidP="009F4757"/>
    <w:p w14:paraId="41BE41B1" w14:textId="7DD72E82" w:rsidR="00DF2938" w:rsidRDefault="002D31FB" w:rsidP="002D31FB">
      <w:pPr>
        <w:pStyle w:val="Heading2"/>
      </w:pPr>
      <w:bookmarkStart w:id="101" w:name="_Toc69739859"/>
      <w:bookmarkStart w:id="102" w:name="_Toc72945494"/>
      <w:bookmarkStart w:id="103" w:name="_Toc72949610"/>
      <w:bookmarkStart w:id="104" w:name="_Toc72950106"/>
      <w:bookmarkStart w:id="105" w:name="_Toc72999763"/>
      <w:bookmarkStart w:id="106" w:name="_Toc81138430"/>
      <w:bookmarkStart w:id="107" w:name="_Toc83818775"/>
      <w:bookmarkStart w:id="108" w:name="_Toc83819387"/>
      <w:bookmarkStart w:id="109" w:name="_Toc84408412"/>
      <w:r w:rsidRPr="002D31FB">
        <w:t>II.</w:t>
      </w:r>
      <w:r w:rsidR="001C3812">
        <w:t>2</w:t>
      </w:r>
      <w:r w:rsidR="00C97CD4" w:rsidRPr="002D31FB">
        <w:t>.</w:t>
      </w:r>
      <w:r w:rsidR="004050C3" w:rsidRPr="002D31FB">
        <w:t xml:space="preserve"> </w:t>
      </w:r>
      <w:r w:rsidR="00060E13" w:rsidRPr="002D31FB">
        <w:t>Gaps</w:t>
      </w:r>
      <w:r w:rsidR="00346EC5" w:rsidRPr="002D31FB">
        <w:t xml:space="preserve"> in the national </w:t>
      </w:r>
      <w:r w:rsidR="004050C3" w:rsidRPr="002D31FB">
        <w:t xml:space="preserve">health information </w:t>
      </w:r>
      <w:r w:rsidR="00346EC5" w:rsidRPr="002D31FB">
        <w:t>s</w:t>
      </w:r>
      <w:r w:rsidR="004050C3" w:rsidRPr="002D31FB">
        <w:t>ystems</w:t>
      </w:r>
      <w:bookmarkEnd w:id="101"/>
      <w:r w:rsidR="00D34B3F" w:rsidRPr="002D31FB">
        <w:t xml:space="preserve"> </w:t>
      </w:r>
      <w:r>
        <w:t>i</w:t>
      </w:r>
      <w:r w:rsidR="00D34B3F" w:rsidRPr="002D31FB">
        <w:t xml:space="preserve">n </w:t>
      </w:r>
      <w:bookmarkEnd w:id="102"/>
      <w:bookmarkEnd w:id="103"/>
      <w:bookmarkEnd w:id="104"/>
      <w:bookmarkEnd w:id="105"/>
      <w:r>
        <w:t>the Arab region</w:t>
      </w:r>
      <w:bookmarkEnd w:id="106"/>
      <w:bookmarkEnd w:id="107"/>
      <w:bookmarkEnd w:id="108"/>
      <w:bookmarkEnd w:id="109"/>
    </w:p>
    <w:p w14:paraId="458B00DF" w14:textId="369ADA80" w:rsidR="00F849DE" w:rsidRDefault="00F849DE" w:rsidP="007B3349">
      <w:r>
        <w:t xml:space="preserve">The following provides a general overview of the status of the HIS in the Arab region. </w:t>
      </w:r>
    </w:p>
    <w:p w14:paraId="43203481" w14:textId="77777777" w:rsidR="00F849DE" w:rsidRPr="00F849DE" w:rsidRDefault="00F849DE" w:rsidP="00F849DE"/>
    <w:p w14:paraId="59ADF28A" w14:textId="453936DE" w:rsidR="002D31FB" w:rsidRDefault="002D31FB" w:rsidP="002D31FB">
      <w:pPr>
        <w:pStyle w:val="Heading3"/>
      </w:pPr>
      <w:r>
        <w:lastRenderedPageBreak/>
        <w:t>II.</w:t>
      </w:r>
      <w:r w:rsidR="001C3812">
        <w:t>2</w:t>
      </w:r>
      <w:r>
        <w:t>.1. Weak and fragmented HIS</w:t>
      </w:r>
    </w:p>
    <w:p w14:paraId="013E7785" w14:textId="5D8C6942" w:rsidR="002D31FB" w:rsidRDefault="002D31FB" w:rsidP="002D31FB">
      <w:proofErr w:type="gramStart"/>
      <w:r>
        <w:t>Similar to</w:t>
      </w:r>
      <w:proofErr w:type="gramEnd"/>
      <w:r>
        <w:t xml:space="preserve"> developing countries, the role of the HIS in many countries of the Arab region is not always appreciated by the various stakeholders. The national budget to run such a system is hardly a competitor amidst the many health threats and economic challenges (WHO 2012). The system mostly evolves in a piece meal fashion and in response to the need for the rapid availability of data for a specific disease or a specific program. Such a need, in many instances, is driven by </w:t>
      </w:r>
      <w:proofErr w:type="gramStart"/>
      <w:r>
        <w:t>donors</w:t>
      </w:r>
      <w:proofErr w:type="gramEnd"/>
      <w:r>
        <w:t xml:space="preserve"> requirements and project funding. Countries then risk being overwhelmed by parallel subsystems and fragmented pieces of information.</w:t>
      </w:r>
    </w:p>
    <w:p w14:paraId="547BE58F" w14:textId="77777777" w:rsidR="002D31FB" w:rsidRDefault="002D31FB" w:rsidP="002D31FB">
      <w:r>
        <w:t xml:space="preserve"> </w:t>
      </w:r>
    </w:p>
    <w:p w14:paraId="30227A4A" w14:textId="13B2FF1B" w:rsidR="002D31FB" w:rsidRDefault="002D31FB" w:rsidP="002D31FB">
      <w:pPr>
        <w:pStyle w:val="Heading3"/>
      </w:pPr>
      <w:r>
        <w:t>II.</w:t>
      </w:r>
      <w:r w:rsidR="001C3812">
        <w:t>2</w:t>
      </w:r>
      <w:r>
        <w:t>.2. Difficulties in data co-ordination and link</w:t>
      </w:r>
      <w:r w:rsidR="00F849DE">
        <w:t>ages among data sources</w:t>
      </w:r>
    </w:p>
    <w:p w14:paraId="7AE9D886" w14:textId="25B013D9" w:rsidR="00AB7118" w:rsidRDefault="002D31FB" w:rsidP="002D31FB">
      <w:r>
        <w:t>The responsibility for health data is often divided among different national ministries or institutions. For example, births and deaths statistics rely on the smooth co-ordination between the MOH, the Ministry of Interior and national statistical institutes. Coordination between the different partners may be difficult due to financial and administrative constraints. In addition, sharing of databases in many countries, notably developing countries, is not legally bounded. This ends in multiple and poorly linked subsystems that cannot deliver timely, accurate and complete data (WHO 2012; Sahay 2020).</w:t>
      </w:r>
    </w:p>
    <w:p w14:paraId="6EF631AA" w14:textId="77777777" w:rsidR="002D31FB" w:rsidRDefault="002D31FB" w:rsidP="002D31FB"/>
    <w:p w14:paraId="6C4CD62B" w14:textId="3799EAAF" w:rsidR="00AB38BD" w:rsidRPr="002D31FB" w:rsidRDefault="002D31FB" w:rsidP="002D31FB">
      <w:pPr>
        <w:pStyle w:val="Heading3"/>
      </w:pPr>
      <w:bookmarkStart w:id="110" w:name="_Toc69739862"/>
      <w:r w:rsidRPr="002D31FB">
        <w:t>II.</w:t>
      </w:r>
      <w:r w:rsidR="001C3812">
        <w:t>2</w:t>
      </w:r>
      <w:r w:rsidRPr="002D31FB">
        <w:t>.</w:t>
      </w:r>
      <w:r w:rsidR="00B639C9" w:rsidRPr="002D31FB">
        <w:t>3.</w:t>
      </w:r>
      <w:r w:rsidR="00AB38BD" w:rsidRPr="002D31FB">
        <w:t xml:space="preserve"> </w:t>
      </w:r>
      <w:r w:rsidR="00912322" w:rsidRPr="002D31FB">
        <w:t xml:space="preserve">Population-based </w:t>
      </w:r>
      <w:r w:rsidR="00AB38BD" w:rsidRPr="002D31FB">
        <w:t>data sources</w:t>
      </w:r>
      <w:r w:rsidR="00912322" w:rsidRPr="002D31FB">
        <w:t xml:space="preserve"> are </w:t>
      </w:r>
      <w:r w:rsidR="00F849DE">
        <w:t xml:space="preserve">inadequate or </w:t>
      </w:r>
      <w:r w:rsidR="00912322" w:rsidRPr="002D31FB">
        <w:t xml:space="preserve">unavailable in several </w:t>
      </w:r>
      <w:r w:rsidR="00634642" w:rsidRPr="002D31FB">
        <w:t>developing</w:t>
      </w:r>
      <w:r w:rsidR="00912322" w:rsidRPr="002D31FB">
        <w:t xml:space="preserve"> countries</w:t>
      </w:r>
      <w:bookmarkEnd w:id="110"/>
    </w:p>
    <w:p w14:paraId="4DCBB858" w14:textId="6DBD2F19" w:rsidR="00912322" w:rsidRPr="00795D1F" w:rsidRDefault="00912322" w:rsidP="00290353">
      <w:r>
        <w:t xml:space="preserve">Population-based </w:t>
      </w:r>
      <w:r w:rsidR="00DD722A">
        <w:t>data sources</w:t>
      </w:r>
      <w:r>
        <w:t xml:space="preserve"> </w:t>
      </w:r>
      <w:r w:rsidR="00DD722A">
        <w:t>are</w:t>
      </w:r>
      <w:r>
        <w:t xml:space="preserve"> the means to correctly understand the country’s reality and measure impact of policies and strategies. Three population-based information sources exist, they include the vital registration, the </w:t>
      </w:r>
      <w:proofErr w:type="gramStart"/>
      <w:r>
        <w:t>census</w:t>
      </w:r>
      <w:proofErr w:type="gramEnd"/>
      <w:r>
        <w:t xml:space="preserve"> and the large household surveys</w:t>
      </w:r>
      <w:r w:rsidR="00CC10FD">
        <w:t xml:space="preserve"> (WHO 2012; WHO 2013)</w:t>
      </w:r>
      <w:r>
        <w:t xml:space="preserve">. The vital registration system </w:t>
      </w:r>
      <w:r w:rsidR="00397C9A">
        <w:t xml:space="preserve">of births and deaths </w:t>
      </w:r>
      <w:r w:rsidR="00DD722A">
        <w:t>is</w:t>
      </w:r>
      <w:r>
        <w:t xml:space="preserve"> the best, up-to-date </w:t>
      </w:r>
      <w:r w:rsidRPr="00F3484B">
        <w:t xml:space="preserve">and most-reliable source for </w:t>
      </w:r>
      <w:r>
        <w:t xml:space="preserve">population and health. </w:t>
      </w:r>
      <w:r w:rsidR="00DD722A">
        <w:t>It is</w:t>
      </w:r>
      <w:r>
        <w:t xml:space="preserve"> u</w:t>
      </w:r>
      <w:r w:rsidRPr="00075999">
        <w:t>sed</w:t>
      </w:r>
      <w:r>
        <w:t>, since centuries,</w:t>
      </w:r>
      <w:r w:rsidRPr="00075999">
        <w:t xml:space="preserve"> in developed countries </w:t>
      </w:r>
      <w:r>
        <w:t>for guiding policies</w:t>
      </w:r>
      <w:r w:rsidR="00DD722A">
        <w:t>. Though vital registration provides c</w:t>
      </w:r>
      <w:r w:rsidR="00DD722A" w:rsidRPr="00075999">
        <w:t>ontinuous ongoing process o</w:t>
      </w:r>
      <w:r w:rsidR="00DD722A">
        <w:t>f</w:t>
      </w:r>
      <w:r w:rsidR="00DD722A" w:rsidRPr="00075999">
        <w:t xml:space="preserve"> data collection</w:t>
      </w:r>
      <w:r w:rsidR="00DD722A">
        <w:t xml:space="preserve"> and cover the total </w:t>
      </w:r>
      <w:r w:rsidR="00DD722A" w:rsidRPr="00075999">
        <w:t>population</w:t>
      </w:r>
      <w:r w:rsidR="00DD722A">
        <w:t xml:space="preserve">, it is not used in monitoring health-related challenges and policies in many of the </w:t>
      </w:r>
      <w:r w:rsidR="00290353">
        <w:t>developing</w:t>
      </w:r>
      <w:r w:rsidR="00DD722A">
        <w:t xml:space="preserve"> countries</w:t>
      </w:r>
      <w:r>
        <w:t>. The census is another source</w:t>
      </w:r>
      <w:r w:rsidR="00397C9A">
        <w:t xml:space="preserve"> that can contribute to</w:t>
      </w:r>
      <w:r>
        <w:t xml:space="preserve"> estimating </w:t>
      </w:r>
      <w:r w:rsidR="00397C9A">
        <w:t xml:space="preserve">some </w:t>
      </w:r>
      <w:r>
        <w:t>population challenges. The census</w:t>
      </w:r>
      <w:r w:rsidRPr="00075999">
        <w:t xml:space="preserve"> </w:t>
      </w:r>
      <w:r>
        <w:t>provides full coverage of all people, however, i</w:t>
      </w:r>
      <w:r w:rsidRPr="00075999">
        <w:t>t is implemented</w:t>
      </w:r>
      <w:r>
        <w:t xml:space="preserve"> every around</w:t>
      </w:r>
      <w:r w:rsidR="00DD722A">
        <w:t xml:space="preserve"> 10 years,</w:t>
      </w:r>
      <w:r>
        <w:t xml:space="preserve"> requires much financial and human resources</w:t>
      </w:r>
      <w:r w:rsidR="00DD722A">
        <w:t>, as well as it is deficient in many health-related data</w:t>
      </w:r>
      <w:r>
        <w:t xml:space="preserve">. The large </w:t>
      </w:r>
      <w:r w:rsidR="00290353">
        <w:t>household</w:t>
      </w:r>
      <w:r>
        <w:t xml:space="preserve"> surveys</w:t>
      </w:r>
      <w:r w:rsidR="00447E1E">
        <w:t>, for</w:t>
      </w:r>
      <w:r w:rsidR="00461F37">
        <w:t xml:space="preserve"> example the Demographic and Health Surveys (DHS)</w:t>
      </w:r>
      <w:r w:rsidR="00FB5B60">
        <w:t>,</w:t>
      </w:r>
      <w:r w:rsidR="00461F37">
        <w:t xml:space="preserve"> </w:t>
      </w:r>
      <w:r w:rsidR="00FB5B60">
        <w:t xml:space="preserve">Multiple Indicators Cluster Surveys </w:t>
      </w:r>
      <w:r w:rsidR="00461F37">
        <w:t>(MICS)</w:t>
      </w:r>
      <w:r w:rsidR="00BA5C4C">
        <w:t xml:space="preserve"> and others</w:t>
      </w:r>
      <w:r w:rsidR="00461F37">
        <w:t xml:space="preserve"> </w:t>
      </w:r>
      <w:r>
        <w:t xml:space="preserve">are the third source of population-based information. They </w:t>
      </w:r>
      <w:r w:rsidR="00FB5B60">
        <w:t xml:space="preserve">are conducted in </w:t>
      </w:r>
      <w:r w:rsidR="00290353">
        <w:t>almost all</w:t>
      </w:r>
      <w:r w:rsidR="00FB5B60">
        <w:t xml:space="preserve"> </w:t>
      </w:r>
      <w:r w:rsidR="00290353">
        <w:t>developing</w:t>
      </w:r>
      <w:r w:rsidR="00FB5B60">
        <w:t xml:space="preserve"> countries to provide population estimates from a</w:t>
      </w:r>
      <w:r>
        <w:t xml:space="preserve"> representative sample of the population. </w:t>
      </w:r>
      <w:r w:rsidR="00FB5B60">
        <w:t xml:space="preserve">These </w:t>
      </w:r>
      <w:r w:rsidR="00FB5B60">
        <w:lastRenderedPageBreak/>
        <w:t xml:space="preserve">surveys are usually conducted regularly </w:t>
      </w:r>
      <w:r>
        <w:t xml:space="preserve">every around 3 years, however, </w:t>
      </w:r>
      <w:r w:rsidR="00FB5B60">
        <w:t xml:space="preserve">this may not be the case in several countries for financial or administrative reasons. </w:t>
      </w:r>
      <w:r>
        <w:t>Thus</w:t>
      </w:r>
      <w:r w:rsidR="00FB5B60">
        <w:t>,</w:t>
      </w:r>
      <w:r>
        <w:t xml:space="preserve"> many </w:t>
      </w:r>
      <w:r w:rsidR="00290353">
        <w:t>developing</w:t>
      </w:r>
      <w:r w:rsidR="00FB5B60">
        <w:t xml:space="preserve"> </w:t>
      </w:r>
      <w:r>
        <w:t xml:space="preserve">countries are losing major sources of information and </w:t>
      </w:r>
      <w:r w:rsidR="00290353">
        <w:t>are</w:t>
      </w:r>
      <w:r>
        <w:t xml:space="preserve"> currently building policies and strategies on estimates that may not reflect reality </w:t>
      </w:r>
      <w:r w:rsidR="00FB5B60">
        <w:t>or true</w:t>
      </w:r>
      <w:r>
        <w:t xml:space="preserve"> impact of policies and strategies</w:t>
      </w:r>
      <w:r w:rsidR="00CC10FD">
        <w:t>.</w:t>
      </w:r>
    </w:p>
    <w:p w14:paraId="67980383" w14:textId="6D361D44" w:rsidR="00912322" w:rsidRDefault="00912322" w:rsidP="00AB7118"/>
    <w:p w14:paraId="500DB2F0" w14:textId="73D48C2D" w:rsidR="00CC10FD" w:rsidRPr="00AD2466" w:rsidRDefault="00AD2466" w:rsidP="00AD2466">
      <w:pPr>
        <w:pStyle w:val="Heading3"/>
      </w:pPr>
      <w:bookmarkStart w:id="111" w:name="_Toc72945495"/>
      <w:bookmarkStart w:id="112" w:name="_Toc72949611"/>
      <w:r w:rsidRPr="00AD2466">
        <w:t>II.</w:t>
      </w:r>
      <w:r w:rsidR="001C3812">
        <w:t>2</w:t>
      </w:r>
      <w:r w:rsidR="00CC10FD" w:rsidRPr="00AD2466">
        <w:t>.4</w:t>
      </w:r>
      <w:r w:rsidRPr="00AD2466">
        <w:t>.</w:t>
      </w:r>
      <w:r w:rsidR="00CC10FD" w:rsidRPr="00AD2466">
        <w:t xml:space="preserve"> </w:t>
      </w:r>
      <w:r w:rsidR="009227F9" w:rsidRPr="00AD2466">
        <w:t>Health systems and p</w:t>
      </w:r>
      <w:r w:rsidR="00CC10FD" w:rsidRPr="00AD2466">
        <w:t xml:space="preserve">rogram-based </w:t>
      </w:r>
      <w:r w:rsidR="00AB2917" w:rsidRPr="00AD2466">
        <w:t xml:space="preserve">health information systems </w:t>
      </w:r>
      <w:r w:rsidR="0025086E" w:rsidRPr="00AD2466">
        <w:t>do not allow for monitoring health inequalities</w:t>
      </w:r>
      <w:bookmarkEnd w:id="111"/>
      <w:bookmarkEnd w:id="112"/>
    </w:p>
    <w:p w14:paraId="45C6071C" w14:textId="3F27191D" w:rsidR="003D1342" w:rsidRDefault="003D1342" w:rsidP="009227F9">
      <w:r>
        <w:t>Despite that HIS exist in all countries since decades, they remain under-developed to meet the data needs. The HIS i</w:t>
      </w:r>
      <w:r w:rsidR="009227F9">
        <w:t>n</w:t>
      </w:r>
      <w:r>
        <w:t xml:space="preserve"> many developing countries including the </w:t>
      </w:r>
      <w:r w:rsidR="000F7957">
        <w:t>Arab</w:t>
      </w:r>
      <w:r>
        <w:t xml:space="preserve"> region are</w:t>
      </w:r>
      <w:r w:rsidRPr="003D1342">
        <w:t xml:space="preserve"> mostly limited to medical care</w:t>
      </w:r>
      <w:r w:rsidR="009227F9">
        <w:t xml:space="preserve"> and health care service utilization with few information on the social factors</w:t>
      </w:r>
      <w:r w:rsidRPr="003D1342">
        <w:t>. Additionally, th</w:t>
      </w:r>
      <w:r>
        <w:t>e</w:t>
      </w:r>
      <w:r w:rsidRPr="003D1342">
        <w:t xml:space="preserve"> data revolution </w:t>
      </w:r>
      <w:r>
        <w:t xml:space="preserve">experienced these days </w:t>
      </w:r>
      <w:r w:rsidRPr="003D1342">
        <w:t>has not been equitably experienced worldwide. While electronic medical records almost nearly replaced the paper-based system</w:t>
      </w:r>
      <w:r w:rsidR="009227F9">
        <w:t>,</w:t>
      </w:r>
      <w:r w:rsidRPr="003D1342">
        <w:t xml:space="preserve"> in developed countries</w:t>
      </w:r>
      <w:r w:rsidR="009227F9">
        <w:t xml:space="preserve"> it</w:t>
      </w:r>
      <w:r w:rsidRPr="003D1342">
        <w:t xml:space="preserve"> </w:t>
      </w:r>
      <w:r w:rsidR="009227F9">
        <w:t xml:space="preserve">has </w:t>
      </w:r>
      <w:r w:rsidRPr="003D1342">
        <w:t xml:space="preserve">not much progressed in many developing countries over the past decades (Webster 2011; WHO 2015; Clifford 2016; </w:t>
      </w:r>
      <w:proofErr w:type="spellStart"/>
      <w:r w:rsidRPr="003D1342">
        <w:t>Odekunle</w:t>
      </w:r>
      <w:proofErr w:type="spellEnd"/>
      <w:r w:rsidRPr="003D1342">
        <w:t xml:space="preserve"> et al 2017). Private healthcare sector in developing countries also started to transition, but the public sector still </w:t>
      </w:r>
      <w:proofErr w:type="gramStart"/>
      <w:r w:rsidRPr="003D1342">
        <w:t>lags behind</w:t>
      </w:r>
      <w:proofErr w:type="gramEnd"/>
      <w:r w:rsidRPr="003D1342">
        <w:t xml:space="preserve"> (WHO 2015; </w:t>
      </w:r>
      <w:proofErr w:type="spellStart"/>
      <w:r w:rsidRPr="003D1342">
        <w:t>Ohuabunwa</w:t>
      </w:r>
      <w:proofErr w:type="spellEnd"/>
      <w:r w:rsidRPr="003D1342">
        <w:t xml:space="preserve"> 2016).</w:t>
      </w:r>
    </w:p>
    <w:p w14:paraId="2B684E61" w14:textId="77777777" w:rsidR="003D1342" w:rsidRDefault="003D1342" w:rsidP="003D1342"/>
    <w:p w14:paraId="3D8E76B3" w14:textId="0D3AD9D2" w:rsidR="00AB2917" w:rsidRDefault="00397C9A" w:rsidP="003D1342">
      <w:r>
        <w:t>Cognizant</w:t>
      </w:r>
      <w:r w:rsidR="00193E22">
        <w:t xml:space="preserve"> of the weakness of HIS in several developing countries, t</w:t>
      </w:r>
      <w:r w:rsidR="00AB2917">
        <w:t xml:space="preserve">here are numerous efforts </w:t>
      </w:r>
      <w:r w:rsidR="009227F9">
        <w:t xml:space="preserve">on the ground </w:t>
      </w:r>
      <w:r w:rsidR="00AB2917">
        <w:t xml:space="preserve">to strengthen the </w:t>
      </w:r>
      <w:r w:rsidR="000F7957">
        <w:t>HIS</w:t>
      </w:r>
      <w:r w:rsidR="00AB2917">
        <w:t>. For example</w:t>
      </w:r>
      <w:r w:rsidR="003D1342">
        <w:t>,</w:t>
      </w:r>
      <w:r w:rsidR="00AB2917">
        <w:t xml:space="preserve"> the </w:t>
      </w:r>
      <w:r w:rsidR="003D1342">
        <w:t xml:space="preserve">global introduction of the </w:t>
      </w:r>
      <w:r w:rsidR="00AB2917">
        <w:t>District Health Information System Version 2 (DHIS2) and the Open Medical Record System (</w:t>
      </w:r>
      <w:proofErr w:type="spellStart"/>
      <w:r w:rsidR="00AB2917">
        <w:t>OpenMRS</w:t>
      </w:r>
      <w:proofErr w:type="spellEnd"/>
      <w:r w:rsidR="00AE3CCB">
        <w:t>)</w:t>
      </w:r>
      <w:r w:rsidR="00AB2917">
        <w:t>. Both platforms have found widespread use in various developing countries under support of global partners</w:t>
      </w:r>
      <w:r w:rsidR="00AE3CCB">
        <w:t xml:space="preserve"> (Sahay 2020)</w:t>
      </w:r>
      <w:r w:rsidR="00AB2917">
        <w:t>. The DHIS2 is a flexible open</w:t>
      </w:r>
      <w:r w:rsidR="003D1342">
        <w:t>-</w:t>
      </w:r>
      <w:r w:rsidR="00AB2917">
        <w:t>source platform developed, evolved, and supported by the University of Oslo, Norway, since more than a decade, and now finds use in different degrees in more than 80 countries (see www.dhis2.org). DHIS2 started out as a platform for building aggregate data</w:t>
      </w:r>
      <w:r w:rsidR="009227F9">
        <w:t>-</w:t>
      </w:r>
      <w:r w:rsidR="00AB2917">
        <w:t xml:space="preserve">based </w:t>
      </w:r>
      <w:r w:rsidR="00AE3CCB">
        <w:t>health management information system (</w:t>
      </w:r>
      <w:r w:rsidR="00AB2917">
        <w:t>HMIS</w:t>
      </w:r>
      <w:r w:rsidR="00AE3CCB">
        <w:t>)</w:t>
      </w:r>
      <w:r w:rsidR="00AB2917">
        <w:t>, but over the years has included a “Tracker” module, which allows individual</w:t>
      </w:r>
      <w:r w:rsidR="00AB2917">
        <w:rPr>
          <w:rFonts w:ascii="Cambria Math" w:hAnsi="Cambria Math" w:cs="Cambria Math"/>
        </w:rPr>
        <w:t>‐</w:t>
      </w:r>
      <w:r w:rsidR="00AB2917">
        <w:t xml:space="preserve">based data processing, such as line lists for births, deaths, and notifiable diseases, individual registration, and follow of people under different programs like antenatal care, </w:t>
      </w:r>
      <w:r w:rsidR="000F7957">
        <w:t>antiretroviral treatment (</w:t>
      </w:r>
      <w:r w:rsidR="00AB2917">
        <w:t>ART</w:t>
      </w:r>
      <w:r w:rsidR="000F7957">
        <w:t>)</w:t>
      </w:r>
      <w:r w:rsidR="00AB2917">
        <w:t xml:space="preserve">, and </w:t>
      </w:r>
      <w:r w:rsidR="000F7957">
        <w:t>tuberculosis (</w:t>
      </w:r>
      <w:r w:rsidR="00AB2917">
        <w:t>TB</w:t>
      </w:r>
      <w:r w:rsidR="000F7957">
        <w:t>)</w:t>
      </w:r>
      <w:r w:rsidR="00AB2917">
        <w:t xml:space="preserve"> treatment. The DHIS2 </w:t>
      </w:r>
      <w:r w:rsidR="00AE3CCB">
        <w:t xml:space="preserve">is implemented in several </w:t>
      </w:r>
      <w:r w:rsidR="000F7957">
        <w:t>Arab</w:t>
      </w:r>
      <w:r w:rsidR="00AE3CCB">
        <w:t xml:space="preserve"> countries, yet the system remains incomplete and</w:t>
      </w:r>
      <w:r w:rsidR="00AB2917">
        <w:t xml:space="preserve"> </w:t>
      </w:r>
      <w:r w:rsidR="00AE3CCB">
        <w:t xml:space="preserve">still </w:t>
      </w:r>
      <w:r w:rsidR="00AB2917">
        <w:t>can</w:t>
      </w:r>
      <w:r w:rsidR="00AE3CCB">
        <w:t>not</w:t>
      </w:r>
      <w:r w:rsidR="00AB2917">
        <w:t xml:space="preserve"> connect various services received by a patient in a hospital (such as registration, billing, </w:t>
      </w:r>
      <w:r w:rsidR="00AE3CCB">
        <w:t>disease status</w:t>
      </w:r>
      <w:r w:rsidR="00AB2917">
        <w:t>, drugs, and laboratory</w:t>
      </w:r>
      <w:r w:rsidR="009227F9">
        <w:t xml:space="preserve"> results</w:t>
      </w:r>
      <w:r w:rsidR="00AB2917">
        <w:t xml:space="preserve">). The </w:t>
      </w:r>
      <w:proofErr w:type="spellStart"/>
      <w:r w:rsidR="00AB2917">
        <w:t>OpenMRS</w:t>
      </w:r>
      <w:proofErr w:type="spellEnd"/>
      <w:r w:rsidR="00AB2917">
        <w:t xml:space="preserve"> (</w:t>
      </w:r>
      <w:r w:rsidR="00193E22" w:rsidRPr="00193E22">
        <w:t>https://openmrs.org/</w:t>
      </w:r>
      <w:r w:rsidR="00AB2917">
        <w:t>), is another widely used open</w:t>
      </w:r>
      <w:r w:rsidR="009227F9">
        <w:t>-</w:t>
      </w:r>
      <w:r w:rsidR="00AB2917">
        <w:t xml:space="preserve">source platform for hospital systems and different types of disease registries. </w:t>
      </w:r>
      <w:r w:rsidR="00193E22">
        <w:t xml:space="preserve">The </w:t>
      </w:r>
      <w:proofErr w:type="spellStart"/>
      <w:r w:rsidR="00AB2917">
        <w:t>OpenMRS</w:t>
      </w:r>
      <w:proofErr w:type="spellEnd"/>
      <w:r w:rsidR="00AB2917">
        <w:t xml:space="preserve"> is not designed to be an HMIS or suitable to support primary health care–based applications.</w:t>
      </w:r>
      <w:r w:rsidR="009227F9">
        <w:t xml:space="preserve"> Most importantly, both platforms in their current </w:t>
      </w:r>
      <w:r w:rsidR="009227F9">
        <w:lastRenderedPageBreak/>
        <w:t xml:space="preserve">status may allow for monitoring </w:t>
      </w:r>
      <w:r w:rsidR="00D06ECB">
        <w:t xml:space="preserve">health, can be </w:t>
      </w:r>
      <w:proofErr w:type="gramStart"/>
      <w:r w:rsidR="00D06ECB">
        <w:t>improve</w:t>
      </w:r>
      <w:proofErr w:type="gramEnd"/>
      <w:r w:rsidR="00D06ECB">
        <w:t xml:space="preserve"> to allow for monitoring </w:t>
      </w:r>
      <w:r w:rsidR="009227F9">
        <w:t xml:space="preserve">healthcare equity but are not designed to monitor health equity in the broader sense. </w:t>
      </w:r>
    </w:p>
    <w:p w14:paraId="1D73C31E" w14:textId="0A3CF980" w:rsidR="00AB2917" w:rsidRDefault="00AB2917" w:rsidP="003D1342"/>
    <w:p w14:paraId="49377F0A" w14:textId="293EDE29" w:rsidR="00DF2938" w:rsidRPr="00AD2466" w:rsidRDefault="00AD2466" w:rsidP="00397C9A">
      <w:pPr>
        <w:pStyle w:val="Heading3"/>
      </w:pPr>
      <w:bookmarkStart w:id="113" w:name="_Toc69739864"/>
      <w:r w:rsidRPr="00AD2466">
        <w:t>II.</w:t>
      </w:r>
      <w:r w:rsidR="001C3812">
        <w:t>2</w:t>
      </w:r>
      <w:r w:rsidR="00B639C9" w:rsidRPr="00AD2466">
        <w:t>.5.</w:t>
      </w:r>
      <w:r w:rsidR="009F70FB" w:rsidRPr="00AD2466">
        <w:t xml:space="preserve"> The </w:t>
      </w:r>
      <w:r w:rsidR="00397C9A">
        <w:t xml:space="preserve">social determinants of health framing and the </w:t>
      </w:r>
      <w:r w:rsidR="009F70FB" w:rsidRPr="00AD2466">
        <w:t>e</w:t>
      </w:r>
      <w:r w:rsidR="00DF2938" w:rsidRPr="00AD2466">
        <w:t>quity lens</w:t>
      </w:r>
      <w:r w:rsidR="009F70FB" w:rsidRPr="00AD2466">
        <w:t xml:space="preserve"> </w:t>
      </w:r>
      <w:r w:rsidR="00397C9A">
        <w:t>are</w:t>
      </w:r>
      <w:r w:rsidR="009F70FB" w:rsidRPr="00AD2466">
        <w:t xml:space="preserve"> still missed </w:t>
      </w:r>
      <w:bookmarkEnd w:id="113"/>
    </w:p>
    <w:p w14:paraId="5D083FCF" w14:textId="780CD9AD" w:rsidR="0025086E" w:rsidRPr="00AB4B35" w:rsidRDefault="00F26F5C" w:rsidP="002A7414">
      <w:pPr>
        <w:rPr>
          <w:rFonts w:asciiTheme="minorBidi" w:hAnsiTheme="minorBidi" w:cstheme="minorBidi"/>
        </w:rPr>
      </w:pPr>
      <w:r w:rsidRPr="00AB4B35">
        <w:rPr>
          <w:rFonts w:asciiTheme="minorBidi" w:hAnsiTheme="minorBidi" w:cstheme="minorBidi"/>
        </w:rPr>
        <w:t xml:space="preserve">Despite </w:t>
      </w:r>
      <w:r w:rsidR="00534174" w:rsidRPr="00AB4B35">
        <w:rPr>
          <w:rFonts w:asciiTheme="minorBidi" w:hAnsiTheme="minorBidi" w:cstheme="minorBidi"/>
        </w:rPr>
        <w:t xml:space="preserve">the current awareness of the impact of the social, economic and political factors on health, the SDH </w:t>
      </w:r>
      <w:proofErr w:type="gramStart"/>
      <w:r w:rsidR="00534174" w:rsidRPr="00AB4B35">
        <w:rPr>
          <w:rFonts w:asciiTheme="minorBidi" w:hAnsiTheme="minorBidi" w:cstheme="minorBidi"/>
        </w:rPr>
        <w:t>framing</w:t>
      </w:r>
      <w:proofErr w:type="gramEnd"/>
      <w:r w:rsidR="001418BC" w:rsidRPr="00AB4B35">
        <w:rPr>
          <w:rFonts w:asciiTheme="minorBidi" w:hAnsiTheme="minorBidi" w:cstheme="minorBidi"/>
        </w:rPr>
        <w:t xml:space="preserve"> and the equity lens remain out</w:t>
      </w:r>
      <w:r w:rsidR="00534174" w:rsidRPr="00AB4B35">
        <w:rPr>
          <w:rFonts w:asciiTheme="minorBidi" w:hAnsiTheme="minorBidi" w:cstheme="minorBidi"/>
        </w:rPr>
        <w:t>side the boundaries of the HIS.</w:t>
      </w:r>
      <w:r w:rsidR="0025086E" w:rsidRPr="00AB4B35">
        <w:rPr>
          <w:rFonts w:asciiTheme="minorBidi" w:hAnsiTheme="minorBidi" w:cstheme="minorBidi"/>
        </w:rPr>
        <w:t xml:space="preserve"> Even the efforts in developed countries are still </w:t>
      </w:r>
      <w:r w:rsidR="00FE24E2" w:rsidRPr="00AB4B35">
        <w:rPr>
          <w:rFonts w:asciiTheme="minorBidi" w:hAnsiTheme="minorBidi" w:cstheme="minorBidi"/>
        </w:rPr>
        <w:t>in early phase of measuring SDH and health inequalities</w:t>
      </w:r>
      <w:r w:rsidR="0025086E" w:rsidRPr="00AB4B35">
        <w:rPr>
          <w:rFonts w:asciiTheme="minorBidi" w:hAnsiTheme="minorBidi" w:cstheme="minorBidi"/>
        </w:rPr>
        <w:t>. For example:</w:t>
      </w:r>
    </w:p>
    <w:p w14:paraId="6911EA1E" w14:textId="6328FD2F" w:rsidR="00FE24E2" w:rsidRPr="00AB4B35" w:rsidRDefault="00FE24E2" w:rsidP="00AB4B35">
      <w:pPr>
        <w:pStyle w:val="ListParagraph"/>
        <w:numPr>
          <w:ilvl w:val="0"/>
          <w:numId w:val="11"/>
        </w:numPr>
        <w:ind w:left="540"/>
        <w:rPr>
          <w:rFonts w:asciiTheme="minorBidi" w:hAnsiTheme="minorBidi" w:cstheme="minorBidi"/>
          <w:bCs/>
          <w:color w:val="000000" w:themeColor="text1"/>
        </w:rPr>
      </w:pPr>
      <w:r w:rsidRPr="00AB4B35">
        <w:rPr>
          <w:rFonts w:asciiTheme="minorBidi" w:hAnsiTheme="minorBidi" w:cstheme="minorBidi"/>
          <w:bCs/>
          <w:color w:val="000000" w:themeColor="text1"/>
        </w:rPr>
        <w:t>In 2004 the United States Centers for Disease Control (CDC) comp</w:t>
      </w:r>
      <w:r w:rsidR="00397C9A">
        <w:rPr>
          <w:rFonts w:asciiTheme="minorBidi" w:hAnsiTheme="minorBidi" w:cstheme="minorBidi"/>
          <w:bCs/>
          <w:color w:val="000000" w:themeColor="text1"/>
        </w:rPr>
        <w:t>i</w:t>
      </w:r>
      <w:r w:rsidRPr="00AB4B35">
        <w:rPr>
          <w:rFonts w:asciiTheme="minorBidi" w:hAnsiTheme="minorBidi" w:cstheme="minorBidi"/>
          <w:bCs/>
          <w:color w:val="000000" w:themeColor="text1"/>
        </w:rPr>
        <w:t xml:space="preserve">led lists </w:t>
      </w:r>
      <w:r w:rsidR="00397C9A">
        <w:rPr>
          <w:rFonts w:asciiTheme="minorBidi" w:hAnsiTheme="minorBidi" w:cstheme="minorBidi"/>
          <w:bCs/>
          <w:color w:val="000000" w:themeColor="text1"/>
        </w:rPr>
        <w:t xml:space="preserve">of </w:t>
      </w:r>
      <w:r w:rsidRPr="00AB4B35">
        <w:rPr>
          <w:rFonts w:asciiTheme="minorBidi" w:hAnsiTheme="minorBidi" w:cstheme="minorBidi"/>
          <w:bCs/>
          <w:color w:val="000000" w:themeColor="text1"/>
        </w:rPr>
        <w:t>SDH indicators and their sources in a data set directory</w:t>
      </w:r>
      <w:r w:rsidR="00927957">
        <w:rPr>
          <w:rFonts w:asciiTheme="minorBidi" w:hAnsiTheme="minorBidi" w:cstheme="minorBidi"/>
          <w:bCs/>
          <w:color w:val="000000" w:themeColor="text1"/>
        </w:rPr>
        <w:t xml:space="preserve"> (</w:t>
      </w:r>
      <w:proofErr w:type="spellStart"/>
      <w:r w:rsidR="00927957">
        <w:t>Hillemeier</w:t>
      </w:r>
      <w:proofErr w:type="spellEnd"/>
      <w:r w:rsidR="00927957">
        <w:t xml:space="preserve"> 2004)</w:t>
      </w:r>
      <w:r w:rsidR="00927957">
        <w:rPr>
          <w:rFonts w:asciiTheme="minorBidi" w:hAnsiTheme="minorBidi" w:cstheme="minorBidi"/>
          <w:bCs/>
          <w:color w:val="000000" w:themeColor="text1"/>
        </w:rPr>
        <w:t>.</w:t>
      </w:r>
      <w:r w:rsidRPr="00AB4B35">
        <w:rPr>
          <w:rFonts w:asciiTheme="minorBidi" w:hAnsiTheme="minorBidi" w:cstheme="minorBidi"/>
          <w:bCs/>
          <w:color w:val="000000" w:themeColor="text1"/>
        </w:rPr>
        <w:t xml:space="preserve"> The use of data to understand linkage between SDH and health outcomes was demonstrated numerous times since then. Examples are the </w:t>
      </w:r>
      <w:r w:rsidR="002932A7">
        <w:rPr>
          <w:rFonts w:asciiTheme="minorBidi" w:hAnsiTheme="minorBidi" w:cstheme="minorBidi"/>
          <w:bCs/>
          <w:color w:val="000000" w:themeColor="text1"/>
        </w:rPr>
        <w:t xml:space="preserve">impact of </w:t>
      </w:r>
      <w:r w:rsidRPr="00AB4B35">
        <w:rPr>
          <w:rFonts w:asciiTheme="minorBidi" w:hAnsiTheme="minorBidi" w:cstheme="minorBidi"/>
          <w:bCs/>
          <w:color w:val="000000" w:themeColor="text1"/>
        </w:rPr>
        <w:t>food insecurity</w:t>
      </w:r>
      <w:r w:rsidR="002932A7">
        <w:rPr>
          <w:rFonts w:asciiTheme="minorBidi" w:hAnsiTheme="minorBidi" w:cstheme="minorBidi"/>
          <w:bCs/>
          <w:color w:val="000000" w:themeColor="text1"/>
        </w:rPr>
        <w:t xml:space="preserve"> on </w:t>
      </w:r>
      <w:r w:rsidRPr="00AB4B35">
        <w:rPr>
          <w:rFonts w:asciiTheme="minorBidi" w:hAnsiTheme="minorBidi" w:cstheme="minorBidi"/>
          <w:bCs/>
          <w:color w:val="000000" w:themeColor="text1"/>
        </w:rPr>
        <w:t xml:space="preserve">cardiovascular outcomes </w:t>
      </w:r>
      <w:r w:rsidRPr="00AB4B35">
        <w:rPr>
          <w:rFonts w:asciiTheme="minorBidi" w:hAnsiTheme="minorBidi" w:cstheme="minorBidi"/>
          <w:bCs/>
          <w:color w:val="000000" w:themeColor="text1"/>
        </w:rPr>
        <w:fldChar w:fldCharType="begin"/>
      </w:r>
      <w:r w:rsidRPr="00AB4B35">
        <w:rPr>
          <w:rFonts w:asciiTheme="minorBidi" w:hAnsiTheme="minorBidi" w:cstheme="minorBidi"/>
          <w:bCs/>
          <w:color w:val="000000" w:themeColor="text1"/>
        </w:rPr>
        <w:instrText xml:space="preserve"> ADDIN ZOTERO_ITEM CSL_CITATION {"citationID":"Kz1TjTkz","properties":{"formattedCitation":"(32)","plainCitation":"(32)","noteIndex":0},"citationItems":[{"id":34635,"uris":["http://zotero.org/groups/2651679/items/KB92FDPG"],"uri":["http://zotero.org/groups/2651679/items/KB92FDPG"],"itemData":{"id":34635,"type":"article-journal","container-title":"Circulation: Cardiovascular Quality and Outcomes","DOI":"10.1161/CIRCOUTCOMES.120.007473","issue":"0","journalAbbreviation":"Circulation: Cardiovascular Quality and Outcomes","note":"publisher: American Heart Association","source":"ahajournals.org (Atypon)","title":"Food Insecurity and Cardiovascular Mortality for Non-Elderly Adults in the United States from 2011 to 2017: A County-Level Longitudinal Analysis","title-short":"Food Insecurity and Cardiovascular Mortality for Non-Elderly Adults in the United States from 2011 to 2017","URL":"https://www.ahajournals.org/doi/10.1161/CIRCOUTCOMES.120.007473","volume":"0","author":[{"literal":"Wang Stephen Y."},{"literal":"Eberly Lauren A."},{"literal":"Roberto Christina A."},{"literal":"Venkataramani Atheendar S."},{"literal":"Groeneveld Peter W."},{"literal":"Khatana Sameed Ahmed M."}],"accessed":{"date-parts":[["2020",12,16]]}}}],"schema":"https://github.com/citation-style-language/schema/raw/master/csl-citation.json"} </w:instrText>
      </w:r>
      <w:r w:rsidRPr="00AB4B35">
        <w:rPr>
          <w:rFonts w:asciiTheme="minorBidi" w:hAnsiTheme="minorBidi" w:cstheme="minorBidi"/>
          <w:bCs/>
          <w:color w:val="000000" w:themeColor="text1"/>
        </w:rPr>
        <w:fldChar w:fldCharType="separate"/>
      </w:r>
      <w:r w:rsidRPr="00AB4B35">
        <w:rPr>
          <w:rFonts w:asciiTheme="minorBidi" w:hAnsiTheme="minorBidi" w:cstheme="minorBidi"/>
          <w:bCs/>
          <w:noProof/>
          <w:color w:val="000000" w:themeColor="text1"/>
        </w:rPr>
        <w:t>(</w:t>
      </w:r>
      <w:r w:rsidR="002932A7" w:rsidRPr="002932A7">
        <w:rPr>
          <w:color w:val="000000"/>
        </w:rPr>
        <w:t xml:space="preserve"> </w:t>
      </w:r>
      <w:r w:rsidR="002932A7">
        <w:rPr>
          <w:color w:val="000000"/>
        </w:rPr>
        <w:t>Wang et al 2021</w:t>
      </w:r>
      <w:r w:rsidRPr="00AB4B35">
        <w:rPr>
          <w:rFonts w:asciiTheme="minorBidi" w:hAnsiTheme="minorBidi" w:cstheme="minorBidi"/>
          <w:bCs/>
          <w:noProof/>
          <w:color w:val="000000" w:themeColor="text1"/>
        </w:rPr>
        <w:t>)</w:t>
      </w:r>
      <w:r w:rsidRPr="00AB4B35">
        <w:rPr>
          <w:rFonts w:asciiTheme="minorBidi" w:hAnsiTheme="minorBidi" w:cstheme="minorBidi"/>
          <w:bCs/>
          <w:color w:val="000000" w:themeColor="text1"/>
        </w:rPr>
        <w:fldChar w:fldCharType="end"/>
      </w:r>
      <w:r w:rsidRPr="00AB4B35">
        <w:rPr>
          <w:rFonts w:asciiTheme="minorBidi" w:hAnsiTheme="minorBidi" w:cstheme="minorBidi"/>
          <w:bCs/>
          <w:color w:val="000000" w:themeColor="text1"/>
        </w:rPr>
        <w:t xml:space="preserve">, the cost-effectiveness of food prescriptions within health insurance </w:t>
      </w:r>
      <w:r w:rsidRPr="00AB4B35">
        <w:rPr>
          <w:rFonts w:asciiTheme="minorBidi" w:hAnsiTheme="minorBidi" w:cstheme="minorBidi"/>
          <w:color w:val="000000" w:themeColor="text1"/>
        </w:rPr>
        <w:fldChar w:fldCharType="begin"/>
      </w:r>
      <w:r w:rsidRPr="00AB4B35">
        <w:rPr>
          <w:rFonts w:asciiTheme="minorBidi" w:hAnsiTheme="minorBidi" w:cstheme="minorBidi"/>
          <w:color w:val="000000" w:themeColor="text1"/>
        </w:rPr>
        <w:instrText xml:space="preserve"> ADDIN ZOTERO_ITEM CSL_CITATION {"citationID":"AgVhGX3M","properties":{"formattedCitation":"(33)","plainCitation":"(33)","noteIndex":0},"citationItems":[{"id":34652,"uris":["http://zotero.org/groups/2651679/items/ZK954YHH"],"uri":["http://zotero.org/groups/2651679/items/ZK954YHH"],"itemData":{"id":34652,"type":"article-journal","abstract":"Yujin Lee and colleagues model for the health benefits and cost-effectiveness of providing subsidies on fresh fruit and vegetables and other healthy foods via Medicaid and Medicare.","container-title":"PLoS Medicine","DOI":"10.1371/journal.pmed.1002761","ISSN":"1549-1277","issue":"3","journalAbbreviation":"PLoS Med","note":"PMID: 30889188\nPMCID: PMC6424388","source":"PubMed Central","title":"Cost-effectiveness of financial incentives for improving diet and health through Medicare and Medicaid: A microsimulation study","title-short":"Cost-effectiveness of financial incentives for improving diet and health through Medicare and Medicaid","URL":"https://www.ncbi.nlm.nih.gov/pmc/articles/PMC6424388/","volume":"16","author":[{"family":"Lee","given":"Yujin"},{"family":"Mozaffarian","given":"Dariush"},{"family":"Sy","given":"Stephen"},{"family":"Huang","given":"Yue"},{"family":"Liu","given":"Junxiu"},{"family":"Wilde","given":"Parke E."},{"family":"Abrahams-Gessel","given":"Shafika"},{"family":"Jardim","given":"Thiago de Souza Veiga"},{"family":"Gaziano","given":"Thomas A."},{"family":"Micha","given":"Renata"}],"accessed":{"date-parts":[["2020",12,16]]},"issued":{"date-parts":[["2019",3,19]]}}}],"schema":"https://github.com/citation-style-language/schema/raw/master/csl-citation.json"} </w:instrText>
      </w:r>
      <w:r w:rsidRPr="00AB4B35">
        <w:rPr>
          <w:rFonts w:asciiTheme="minorBidi" w:hAnsiTheme="minorBidi" w:cstheme="minorBidi"/>
          <w:color w:val="000000" w:themeColor="text1"/>
        </w:rPr>
        <w:fldChar w:fldCharType="separate"/>
      </w:r>
      <w:r w:rsidRPr="00AB4B35">
        <w:rPr>
          <w:rFonts w:asciiTheme="minorBidi" w:hAnsiTheme="minorBidi" w:cstheme="minorBidi"/>
          <w:noProof/>
          <w:color w:val="000000" w:themeColor="text1"/>
        </w:rPr>
        <w:t>(</w:t>
      </w:r>
      <w:r w:rsidR="00AD1156">
        <w:rPr>
          <w:rFonts w:asciiTheme="minorBidi" w:hAnsiTheme="minorBidi" w:cstheme="minorBidi"/>
          <w:noProof/>
          <w:color w:val="000000" w:themeColor="text1"/>
        </w:rPr>
        <w:t>Lee et al 2019</w:t>
      </w:r>
      <w:r w:rsidRPr="00AB4B35">
        <w:rPr>
          <w:rFonts w:asciiTheme="minorBidi" w:hAnsiTheme="minorBidi" w:cstheme="minorBidi"/>
          <w:noProof/>
          <w:color w:val="000000" w:themeColor="text1"/>
        </w:rPr>
        <w:t>)</w:t>
      </w:r>
      <w:r w:rsidRPr="00AB4B35">
        <w:rPr>
          <w:rFonts w:asciiTheme="minorBidi" w:hAnsiTheme="minorBidi" w:cstheme="minorBidi"/>
          <w:color w:val="000000" w:themeColor="text1"/>
        </w:rPr>
        <w:fldChar w:fldCharType="end"/>
      </w:r>
      <w:r w:rsidRPr="00AB4B35">
        <w:rPr>
          <w:rFonts w:asciiTheme="minorBidi" w:hAnsiTheme="minorBidi" w:cstheme="minorBidi"/>
          <w:color w:val="000000" w:themeColor="text1"/>
        </w:rPr>
        <w:t>.</w:t>
      </w:r>
    </w:p>
    <w:p w14:paraId="53D16564" w14:textId="2BBBF111" w:rsidR="00FE24E2" w:rsidRPr="00AB4B35" w:rsidRDefault="00FE24E2" w:rsidP="00AB4B35">
      <w:pPr>
        <w:pStyle w:val="ListParagraph"/>
        <w:numPr>
          <w:ilvl w:val="0"/>
          <w:numId w:val="11"/>
        </w:numPr>
        <w:ind w:left="540"/>
        <w:rPr>
          <w:rFonts w:asciiTheme="minorBidi" w:hAnsiTheme="minorBidi" w:cstheme="minorBidi"/>
          <w:bCs/>
          <w:color w:val="000000" w:themeColor="text1"/>
        </w:rPr>
      </w:pPr>
      <w:r w:rsidRPr="00AB4B35">
        <w:rPr>
          <w:rFonts w:asciiTheme="minorBidi" w:hAnsiTheme="minorBidi" w:cstheme="minorBidi"/>
          <w:bCs/>
          <w:color w:val="000000" w:themeColor="text1"/>
        </w:rPr>
        <w:t xml:space="preserve">In the United Kingdom, the Biobank initiative collected biologic samples, physical measurement together with a range of SDH information (such as employment status, education, income, car ownership, ethnicity, mental health, social support, occupation, housing, domestic </w:t>
      </w:r>
      <w:proofErr w:type="gramStart"/>
      <w:r w:rsidRPr="00AB4B35">
        <w:rPr>
          <w:rFonts w:asciiTheme="minorBidi" w:hAnsiTheme="minorBidi" w:cstheme="minorBidi"/>
          <w:bCs/>
          <w:color w:val="000000" w:themeColor="text1"/>
        </w:rPr>
        <w:t>heating</w:t>
      </w:r>
      <w:proofErr w:type="gramEnd"/>
      <w:r w:rsidRPr="00AB4B35">
        <w:rPr>
          <w:rFonts w:asciiTheme="minorBidi" w:hAnsiTheme="minorBidi" w:cstheme="minorBidi"/>
          <w:bCs/>
          <w:color w:val="000000" w:themeColor="text1"/>
        </w:rPr>
        <w:t xml:space="preserve"> and cooking fuel, means of travel, shift work, and mobile phone uses) from 500,000 people between 2006 and 2010</w:t>
      </w:r>
      <w:r w:rsidR="00AD1156">
        <w:rPr>
          <w:rFonts w:asciiTheme="minorBidi" w:hAnsiTheme="minorBidi" w:cstheme="minorBidi"/>
          <w:bCs/>
          <w:color w:val="000000" w:themeColor="text1"/>
        </w:rPr>
        <w:t xml:space="preserve"> (Allen et al 2020).</w:t>
      </w:r>
      <w:r w:rsidRPr="00AB4B35">
        <w:rPr>
          <w:rFonts w:asciiTheme="minorBidi" w:hAnsiTheme="minorBidi" w:cstheme="minorBidi"/>
          <w:bCs/>
          <w:color w:val="000000" w:themeColor="text1"/>
        </w:rPr>
        <w:t xml:space="preserve"> </w:t>
      </w:r>
    </w:p>
    <w:p w14:paraId="6C54F8CB" w14:textId="335316EF" w:rsidR="002904F8" w:rsidRPr="00AB4B35" w:rsidRDefault="00FE24E2" w:rsidP="00AB4B35">
      <w:pPr>
        <w:pStyle w:val="ListParagraph"/>
        <w:numPr>
          <w:ilvl w:val="0"/>
          <w:numId w:val="11"/>
        </w:numPr>
        <w:ind w:left="540"/>
        <w:rPr>
          <w:rFonts w:asciiTheme="minorBidi" w:hAnsiTheme="minorBidi" w:cstheme="minorBidi"/>
          <w:bCs/>
          <w:color w:val="000000" w:themeColor="text1"/>
        </w:rPr>
      </w:pPr>
      <w:r w:rsidRPr="00AB4B35">
        <w:rPr>
          <w:rFonts w:asciiTheme="minorBidi" w:hAnsiTheme="minorBidi" w:cstheme="minorBidi"/>
          <w:bCs/>
          <w:color w:val="000000" w:themeColor="text1"/>
        </w:rPr>
        <w:t xml:space="preserve">The 2019 report of the state of the food security and nutrition in the world </w:t>
      </w:r>
      <w:r w:rsidR="002904F8" w:rsidRPr="00AB4B35">
        <w:rPr>
          <w:rFonts w:asciiTheme="minorBidi" w:hAnsiTheme="minorBidi" w:cstheme="minorBidi"/>
          <w:bCs/>
          <w:color w:val="000000" w:themeColor="text1"/>
        </w:rPr>
        <w:t>used</w:t>
      </w:r>
      <w:r w:rsidRPr="00AB4B35">
        <w:rPr>
          <w:rFonts w:asciiTheme="minorBidi" w:hAnsiTheme="minorBidi" w:cstheme="minorBidi"/>
          <w:bCs/>
          <w:color w:val="000000" w:themeColor="text1"/>
        </w:rPr>
        <w:t xml:space="preserve"> </w:t>
      </w:r>
      <w:r w:rsidR="002904F8" w:rsidRPr="00AB4B35">
        <w:rPr>
          <w:rFonts w:asciiTheme="minorBidi" w:hAnsiTheme="minorBidi" w:cstheme="minorBidi"/>
          <w:bCs/>
          <w:color w:val="000000" w:themeColor="text1"/>
        </w:rPr>
        <w:t xml:space="preserve">SDH </w:t>
      </w:r>
      <w:r w:rsidRPr="00AB4B35">
        <w:rPr>
          <w:rFonts w:asciiTheme="minorBidi" w:hAnsiTheme="minorBidi" w:cstheme="minorBidi"/>
          <w:bCs/>
          <w:color w:val="000000" w:themeColor="text1"/>
        </w:rPr>
        <w:t xml:space="preserve">data from multiple sources </w:t>
      </w:r>
      <w:r w:rsidR="002904F8" w:rsidRPr="00AB4B35">
        <w:rPr>
          <w:rFonts w:asciiTheme="minorBidi" w:hAnsiTheme="minorBidi" w:cstheme="minorBidi"/>
          <w:bCs/>
          <w:color w:val="000000" w:themeColor="text1"/>
        </w:rPr>
        <w:t>(as</w:t>
      </w:r>
      <w:r w:rsidRPr="00AB4B35">
        <w:rPr>
          <w:rFonts w:asciiTheme="minorBidi" w:hAnsiTheme="minorBidi" w:cstheme="minorBidi"/>
          <w:bCs/>
          <w:color w:val="000000" w:themeColor="text1"/>
        </w:rPr>
        <w:t xml:space="preserve"> age</w:t>
      </w:r>
      <w:r w:rsidR="002904F8" w:rsidRPr="00AB4B35">
        <w:rPr>
          <w:rFonts w:asciiTheme="minorBidi" w:hAnsiTheme="minorBidi" w:cstheme="minorBidi"/>
          <w:bCs/>
          <w:color w:val="000000" w:themeColor="text1"/>
        </w:rPr>
        <w:t xml:space="preserve">, </w:t>
      </w:r>
      <w:r w:rsidRPr="00AB4B35">
        <w:rPr>
          <w:rFonts w:asciiTheme="minorBidi" w:hAnsiTheme="minorBidi" w:cstheme="minorBidi"/>
          <w:bCs/>
          <w:color w:val="000000" w:themeColor="text1"/>
        </w:rPr>
        <w:t>sex</w:t>
      </w:r>
      <w:r w:rsidR="002904F8" w:rsidRPr="00AB4B35">
        <w:rPr>
          <w:rFonts w:asciiTheme="minorBidi" w:hAnsiTheme="minorBidi" w:cstheme="minorBidi"/>
          <w:bCs/>
          <w:color w:val="000000" w:themeColor="text1"/>
        </w:rPr>
        <w:t xml:space="preserve">, </w:t>
      </w:r>
      <w:r w:rsidRPr="00AB4B35">
        <w:rPr>
          <w:rFonts w:asciiTheme="minorBidi" w:hAnsiTheme="minorBidi" w:cstheme="minorBidi"/>
          <w:bCs/>
          <w:color w:val="000000" w:themeColor="text1"/>
        </w:rPr>
        <w:t>height, food consumption, food availability</w:t>
      </w:r>
      <w:r w:rsidR="002904F8" w:rsidRPr="00AB4B35">
        <w:rPr>
          <w:rFonts w:asciiTheme="minorBidi" w:hAnsiTheme="minorBidi" w:cstheme="minorBidi"/>
          <w:bCs/>
          <w:color w:val="000000" w:themeColor="text1"/>
        </w:rPr>
        <w:t>)</w:t>
      </w:r>
      <w:r w:rsidRPr="00AB4B35">
        <w:rPr>
          <w:rFonts w:asciiTheme="minorBidi" w:hAnsiTheme="minorBidi" w:cstheme="minorBidi"/>
          <w:bCs/>
          <w:color w:val="000000" w:themeColor="text1"/>
        </w:rPr>
        <w:t xml:space="preserve"> to assess minimum energy requirements, inequalities and energy supply, and then created a statistical model to estimate the prevalence of undernourishment globally</w:t>
      </w:r>
      <w:r w:rsidR="00221B4F">
        <w:rPr>
          <w:rFonts w:asciiTheme="minorBidi" w:hAnsiTheme="minorBidi" w:cstheme="minorBidi"/>
          <w:bCs/>
          <w:color w:val="000000" w:themeColor="text1"/>
        </w:rPr>
        <w:t xml:space="preserve"> </w:t>
      </w:r>
      <w:r w:rsidRPr="00AB4B35">
        <w:rPr>
          <w:rFonts w:asciiTheme="minorBidi" w:hAnsiTheme="minorBidi" w:cstheme="minorBidi"/>
          <w:bCs/>
          <w:color w:val="000000" w:themeColor="text1"/>
        </w:rPr>
        <w:fldChar w:fldCharType="begin"/>
      </w:r>
      <w:r w:rsidRPr="00AB4B35">
        <w:rPr>
          <w:rFonts w:asciiTheme="minorBidi" w:hAnsiTheme="minorBidi" w:cstheme="minorBidi"/>
          <w:bCs/>
          <w:color w:val="000000" w:themeColor="text1"/>
        </w:rPr>
        <w:instrText xml:space="preserve"> ADDIN ZOTERO_ITEM CSL_CITATION {"citationID":"7etTl9J4","properties":{"formattedCitation":"(47)","plainCitation":"(47)","noteIndex":0},"citationItems":[{"id":34655,"uris":["http://zotero.org/groups/2651679/items/FELS37EX"],"uri":["http://zotero.org/groups/2651679/items/FELS37EX"],"itemData":{"id":34655,"type":"webpage","title":"2019 - The State of Food Security and Nutrition in the World (SOFI): Safeguarding against economic slowdowns and downturns | World Food Programme","URL":"https://www.wfp.org/publications/2019-state-food-security-and-nutrition-world-sofi-safeguarding-against-economic","accessed":{"date-parts":[["2020",12,16]]}}}],"schema":"https://github.com/citation-style-language/schema/raw/master/csl-citation.json"} </w:instrText>
      </w:r>
      <w:r w:rsidRPr="00AB4B35">
        <w:rPr>
          <w:rFonts w:asciiTheme="minorBidi" w:hAnsiTheme="minorBidi" w:cstheme="minorBidi"/>
          <w:bCs/>
          <w:color w:val="000000" w:themeColor="text1"/>
        </w:rPr>
        <w:fldChar w:fldCharType="separate"/>
      </w:r>
      <w:r w:rsidRPr="00AB4B35">
        <w:rPr>
          <w:rFonts w:asciiTheme="minorBidi" w:hAnsiTheme="minorBidi" w:cstheme="minorBidi"/>
          <w:color w:val="000000"/>
        </w:rPr>
        <w:t>(</w:t>
      </w:r>
      <w:r w:rsidR="00221B4F">
        <w:rPr>
          <w:rFonts w:asciiTheme="minorBidi" w:hAnsiTheme="minorBidi" w:cstheme="minorBidi"/>
          <w:color w:val="000000"/>
        </w:rPr>
        <w:t>UNFAO 2020</w:t>
      </w:r>
      <w:r w:rsidRPr="00AB4B35">
        <w:rPr>
          <w:rFonts w:asciiTheme="minorBidi" w:hAnsiTheme="minorBidi" w:cstheme="minorBidi"/>
          <w:color w:val="000000"/>
        </w:rPr>
        <w:t>)</w:t>
      </w:r>
      <w:r w:rsidRPr="00AB4B35">
        <w:rPr>
          <w:rFonts w:asciiTheme="minorBidi" w:hAnsiTheme="minorBidi" w:cstheme="minorBidi"/>
          <w:bCs/>
          <w:color w:val="000000" w:themeColor="text1"/>
        </w:rPr>
        <w:fldChar w:fldCharType="end"/>
      </w:r>
      <w:r w:rsidRPr="00AB4B35">
        <w:rPr>
          <w:rFonts w:asciiTheme="minorBidi" w:hAnsiTheme="minorBidi" w:cstheme="minorBidi"/>
          <w:bCs/>
          <w:color w:val="000000" w:themeColor="text1"/>
        </w:rPr>
        <w:t xml:space="preserve"> </w:t>
      </w:r>
    </w:p>
    <w:p w14:paraId="577493B9" w14:textId="235C799C" w:rsidR="00FE24E2" w:rsidRPr="00AB4B35" w:rsidRDefault="002904F8" w:rsidP="00AB4B35">
      <w:pPr>
        <w:pStyle w:val="ListParagraph"/>
        <w:numPr>
          <w:ilvl w:val="0"/>
          <w:numId w:val="11"/>
        </w:numPr>
        <w:ind w:left="540"/>
        <w:rPr>
          <w:rFonts w:asciiTheme="minorBidi" w:hAnsiTheme="minorBidi" w:cstheme="minorBidi"/>
          <w:bCs/>
          <w:color w:val="000000" w:themeColor="text1"/>
        </w:rPr>
      </w:pPr>
      <w:r w:rsidRPr="00AB4B35">
        <w:rPr>
          <w:rFonts w:asciiTheme="minorBidi" w:hAnsiTheme="minorBidi" w:cstheme="minorBidi"/>
          <w:bCs/>
          <w:color w:val="000000" w:themeColor="text1"/>
        </w:rPr>
        <w:t xml:space="preserve">The WHO </w:t>
      </w:r>
      <w:r w:rsidR="00FE24E2" w:rsidRPr="00AB4B35">
        <w:rPr>
          <w:rFonts w:asciiTheme="minorBidi" w:hAnsiTheme="minorBidi" w:cstheme="minorBidi"/>
          <w:bCs/>
          <w:color w:val="000000" w:themeColor="text1"/>
        </w:rPr>
        <w:t>Health Behavior in School-aged Children (HBSC) in young people</w:t>
      </w:r>
      <w:r w:rsidRPr="00AB4B35">
        <w:rPr>
          <w:rFonts w:asciiTheme="minorBidi" w:hAnsiTheme="minorBidi" w:cstheme="minorBidi"/>
          <w:bCs/>
          <w:color w:val="000000" w:themeColor="text1"/>
        </w:rPr>
        <w:t xml:space="preserve"> was a collaborative study conducted every four years in 50 countries across Europe and North America. The HBSC aimed at measuring the</w:t>
      </w:r>
      <w:r w:rsidR="00FE24E2" w:rsidRPr="00AB4B35">
        <w:rPr>
          <w:rFonts w:asciiTheme="minorBidi" w:hAnsiTheme="minorBidi" w:cstheme="minorBidi"/>
          <w:bCs/>
          <w:color w:val="000000" w:themeColor="text1"/>
        </w:rPr>
        <w:t xml:space="preserve"> health behaviors and their social determinants</w:t>
      </w:r>
      <w:r w:rsidRPr="00AB4B35">
        <w:rPr>
          <w:rFonts w:asciiTheme="minorBidi" w:hAnsiTheme="minorBidi" w:cstheme="minorBidi"/>
          <w:bCs/>
          <w:color w:val="000000" w:themeColor="text1"/>
        </w:rPr>
        <w:t xml:space="preserve"> in young people </w:t>
      </w:r>
      <w:r w:rsidR="00FE24E2" w:rsidRPr="00AB4B35">
        <w:rPr>
          <w:rFonts w:asciiTheme="minorBidi" w:hAnsiTheme="minorBidi" w:cstheme="minorBidi"/>
          <w:bCs/>
          <w:color w:val="000000" w:themeColor="text1"/>
        </w:rPr>
        <w:t>to inform policy and practice</w:t>
      </w:r>
      <w:r w:rsidR="00221B4F">
        <w:rPr>
          <w:rFonts w:asciiTheme="minorBidi" w:hAnsiTheme="minorBidi" w:cstheme="minorBidi"/>
          <w:bCs/>
          <w:color w:val="000000" w:themeColor="text1"/>
        </w:rPr>
        <w:t xml:space="preserve"> (</w:t>
      </w:r>
      <w:r w:rsidR="00221B4F" w:rsidRPr="00221B4F">
        <w:rPr>
          <w:rFonts w:asciiTheme="minorBidi" w:hAnsiTheme="minorBidi" w:cstheme="minorBidi"/>
          <w:bCs/>
          <w:color w:val="000000" w:themeColor="text1"/>
        </w:rPr>
        <w:t>http://www.hbsc.org/</w:t>
      </w:r>
      <w:r w:rsidR="00221B4F">
        <w:rPr>
          <w:rFonts w:asciiTheme="minorBidi" w:hAnsiTheme="minorBidi" w:cstheme="minorBidi"/>
          <w:bCs/>
          <w:color w:val="000000" w:themeColor="text1"/>
        </w:rPr>
        <w:t>)</w:t>
      </w:r>
      <w:r w:rsidRPr="00AB4B35">
        <w:rPr>
          <w:rFonts w:asciiTheme="minorBidi" w:hAnsiTheme="minorBidi" w:cstheme="minorBidi"/>
          <w:bCs/>
          <w:color w:val="000000" w:themeColor="text1"/>
        </w:rPr>
        <w:t>.</w:t>
      </w:r>
    </w:p>
    <w:p w14:paraId="64FEFBF1" w14:textId="77777777" w:rsidR="0025086E" w:rsidRPr="008C1B67" w:rsidRDefault="0025086E" w:rsidP="00AB4B35">
      <w:pPr>
        <w:rPr>
          <w:rFonts w:asciiTheme="minorBidi" w:hAnsiTheme="minorBidi" w:cstheme="minorBidi"/>
        </w:rPr>
      </w:pPr>
    </w:p>
    <w:p w14:paraId="3266CA2B" w14:textId="51B6A1EB" w:rsidR="002904F8" w:rsidRPr="00C75FFD" w:rsidRDefault="00637F10" w:rsidP="00C75FFD">
      <w:pPr>
        <w:rPr>
          <w:rFonts w:asciiTheme="minorBidi" w:hAnsiTheme="minorBidi" w:cstheme="minorBidi"/>
          <w:bCs/>
          <w:color w:val="000000" w:themeColor="text1"/>
        </w:rPr>
      </w:pPr>
      <w:r w:rsidRPr="008C1B67">
        <w:rPr>
          <w:rFonts w:asciiTheme="minorBidi" w:hAnsiTheme="minorBidi" w:cstheme="minorBidi"/>
        </w:rPr>
        <w:t>Despite all these efforts,</w:t>
      </w:r>
      <w:r w:rsidR="00534174" w:rsidRPr="008C1B67">
        <w:rPr>
          <w:rFonts w:asciiTheme="minorBidi" w:hAnsiTheme="minorBidi" w:cstheme="minorBidi"/>
        </w:rPr>
        <w:t xml:space="preserve"> </w:t>
      </w:r>
      <w:r w:rsidRPr="008C1B67">
        <w:rPr>
          <w:rFonts w:asciiTheme="minorBidi" w:hAnsiTheme="minorBidi" w:cstheme="minorBidi"/>
        </w:rPr>
        <w:t>several</w:t>
      </w:r>
      <w:r w:rsidR="008433A9" w:rsidRPr="008C1B67">
        <w:rPr>
          <w:rFonts w:asciiTheme="minorBidi" w:hAnsiTheme="minorBidi" w:cstheme="minorBidi"/>
        </w:rPr>
        <w:t xml:space="preserve"> pitfalls</w:t>
      </w:r>
      <w:r w:rsidR="00221B4F" w:rsidRPr="008C1B67">
        <w:rPr>
          <w:rFonts w:asciiTheme="minorBidi" w:hAnsiTheme="minorBidi" w:cstheme="minorBidi"/>
        </w:rPr>
        <w:t xml:space="preserve"> exist</w:t>
      </w:r>
      <w:r w:rsidR="008433A9" w:rsidRPr="008C1B67">
        <w:rPr>
          <w:rFonts w:asciiTheme="minorBidi" w:hAnsiTheme="minorBidi" w:cstheme="minorBidi"/>
        </w:rPr>
        <w:t xml:space="preserve">. First, there is no SDH adapted conceptualization in </w:t>
      </w:r>
      <w:r w:rsidR="00221B4F" w:rsidRPr="008C1B67">
        <w:rPr>
          <w:rFonts w:asciiTheme="minorBidi" w:hAnsiTheme="minorBidi" w:cstheme="minorBidi"/>
        </w:rPr>
        <w:t xml:space="preserve">the </w:t>
      </w:r>
      <w:r w:rsidR="008433A9" w:rsidRPr="008C1B67">
        <w:rPr>
          <w:rFonts w:asciiTheme="minorBidi" w:hAnsiTheme="minorBidi" w:cstheme="minorBidi"/>
        </w:rPr>
        <w:t>HIS structure</w:t>
      </w:r>
      <w:r w:rsidR="00221B4F" w:rsidRPr="008C1B67">
        <w:rPr>
          <w:rFonts w:asciiTheme="minorBidi" w:hAnsiTheme="minorBidi" w:cstheme="minorBidi"/>
        </w:rPr>
        <w:t>s</w:t>
      </w:r>
      <w:r w:rsidR="0044298D" w:rsidRPr="008C1B67">
        <w:rPr>
          <w:rFonts w:asciiTheme="minorBidi" w:hAnsiTheme="minorBidi" w:cstheme="minorBidi"/>
        </w:rPr>
        <w:t xml:space="preserve"> to </w:t>
      </w:r>
      <w:r w:rsidR="00997D39" w:rsidRPr="008C1B67">
        <w:rPr>
          <w:rFonts w:asciiTheme="minorBidi" w:hAnsiTheme="minorBidi" w:cstheme="minorBidi"/>
        </w:rPr>
        <w:t>illustrate</w:t>
      </w:r>
      <w:r w:rsidR="0044298D" w:rsidRPr="008C1B67">
        <w:rPr>
          <w:rFonts w:asciiTheme="minorBidi" w:hAnsiTheme="minorBidi" w:cstheme="minorBidi"/>
        </w:rPr>
        <w:t xml:space="preserve"> the </w:t>
      </w:r>
      <w:r w:rsidR="00997D39" w:rsidRPr="008C1B67">
        <w:rPr>
          <w:rFonts w:asciiTheme="minorBidi" w:hAnsiTheme="minorBidi" w:cstheme="minorBidi"/>
        </w:rPr>
        <w:t xml:space="preserve">linkages between the structural drivers, the differential exposures and </w:t>
      </w:r>
      <w:r w:rsidR="0044298D" w:rsidRPr="008C1B67">
        <w:rPr>
          <w:rFonts w:asciiTheme="minorBidi" w:hAnsiTheme="minorBidi" w:cstheme="minorBidi"/>
        </w:rPr>
        <w:t>health outcomes</w:t>
      </w:r>
      <w:r w:rsidR="008433A9" w:rsidRPr="008C1B67">
        <w:rPr>
          <w:rFonts w:asciiTheme="minorBidi" w:hAnsiTheme="minorBidi" w:cstheme="minorBidi"/>
        </w:rPr>
        <w:t xml:space="preserve">. </w:t>
      </w:r>
      <w:r w:rsidR="002D42C5" w:rsidRPr="008C1B67">
        <w:rPr>
          <w:rFonts w:asciiTheme="minorBidi" w:hAnsiTheme="minorBidi" w:cstheme="minorBidi"/>
        </w:rPr>
        <w:t>Second</w:t>
      </w:r>
      <w:r w:rsidR="0044298D" w:rsidRPr="008C1B67">
        <w:rPr>
          <w:rFonts w:asciiTheme="minorBidi" w:hAnsiTheme="minorBidi" w:cstheme="minorBidi"/>
        </w:rPr>
        <w:t xml:space="preserve">, the data produced are still the national average data and </w:t>
      </w:r>
      <w:r w:rsidR="002D42C5" w:rsidRPr="008C1B67">
        <w:rPr>
          <w:rFonts w:asciiTheme="minorBidi" w:hAnsiTheme="minorBidi" w:cstheme="minorBidi"/>
        </w:rPr>
        <w:t>disaggregation</w:t>
      </w:r>
      <w:r w:rsidR="00577F4B" w:rsidRPr="008C1B67">
        <w:rPr>
          <w:rFonts w:asciiTheme="minorBidi" w:hAnsiTheme="minorBidi" w:cstheme="minorBidi"/>
        </w:rPr>
        <w:t xml:space="preserve"> </w:t>
      </w:r>
      <w:r w:rsidR="0044298D" w:rsidRPr="008C1B67">
        <w:rPr>
          <w:rFonts w:asciiTheme="minorBidi" w:hAnsiTheme="minorBidi" w:cstheme="minorBidi"/>
        </w:rPr>
        <w:t>by context specific social stratification are hardly available</w:t>
      </w:r>
      <w:r w:rsidR="00997D39" w:rsidRPr="008C1B67">
        <w:rPr>
          <w:rFonts w:asciiTheme="minorBidi" w:hAnsiTheme="minorBidi" w:cstheme="minorBidi"/>
        </w:rPr>
        <w:t xml:space="preserve"> and if available they pertain to intermediate determinants rather that structural determinants</w:t>
      </w:r>
      <w:r w:rsidR="002904F8" w:rsidRPr="008C1B67">
        <w:rPr>
          <w:rFonts w:asciiTheme="minorBidi" w:hAnsiTheme="minorBidi" w:cstheme="minorBidi"/>
        </w:rPr>
        <w:t xml:space="preserve">. </w:t>
      </w:r>
      <w:r w:rsidR="00997D39" w:rsidRPr="008C1B67">
        <w:rPr>
          <w:rFonts w:asciiTheme="minorBidi" w:hAnsiTheme="minorBidi" w:cstheme="minorBidi"/>
        </w:rPr>
        <w:t xml:space="preserve">Third, it </w:t>
      </w:r>
      <w:r w:rsidR="000F7574">
        <w:rPr>
          <w:rFonts w:asciiTheme="minorBidi" w:hAnsiTheme="minorBidi" w:cstheme="minorBidi"/>
        </w:rPr>
        <w:t>i</w:t>
      </w:r>
      <w:r w:rsidR="00997D39" w:rsidRPr="008C1B67">
        <w:rPr>
          <w:rFonts w:asciiTheme="minorBidi" w:hAnsiTheme="minorBidi" w:cstheme="minorBidi"/>
        </w:rPr>
        <w:t xml:space="preserve">s </w:t>
      </w:r>
      <w:r w:rsidR="008C1B67">
        <w:rPr>
          <w:rFonts w:asciiTheme="minorBidi" w:hAnsiTheme="minorBidi" w:cstheme="minorBidi"/>
        </w:rPr>
        <w:t xml:space="preserve">hard </w:t>
      </w:r>
      <w:r w:rsidR="00997D39" w:rsidRPr="008C1B67">
        <w:rPr>
          <w:rFonts w:asciiTheme="minorBidi" w:hAnsiTheme="minorBidi" w:cstheme="minorBidi"/>
        </w:rPr>
        <w:t>to</w:t>
      </w:r>
      <w:r w:rsidR="008C1B67">
        <w:rPr>
          <w:rFonts w:asciiTheme="minorBidi" w:hAnsiTheme="minorBidi" w:cstheme="minorBidi"/>
        </w:rPr>
        <w:t xml:space="preserve"> measure the inequalities and</w:t>
      </w:r>
      <w:r w:rsidR="00997D39" w:rsidRPr="008C1B67">
        <w:rPr>
          <w:rFonts w:asciiTheme="minorBidi" w:hAnsiTheme="minorBidi" w:cstheme="minorBidi"/>
        </w:rPr>
        <w:t xml:space="preserve"> identify the true underserved and vulnerable populations. </w:t>
      </w:r>
      <w:r w:rsidR="000833E8">
        <w:rPr>
          <w:rFonts w:asciiTheme="minorBidi" w:hAnsiTheme="minorBidi" w:cstheme="minorBidi"/>
        </w:rPr>
        <w:t xml:space="preserve">Fourth, all </w:t>
      </w:r>
      <w:proofErr w:type="spellStart"/>
      <w:r w:rsidR="000833E8">
        <w:rPr>
          <w:rFonts w:asciiTheme="minorBidi" w:hAnsiTheme="minorBidi" w:cstheme="minorBidi"/>
        </w:rPr>
        <w:lastRenderedPageBreak/>
        <w:t>all</w:t>
      </w:r>
      <w:proofErr w:type="spellEnd"/>
      <w:r w:rsidR="000833E8">
        <w:rPr>
          <w:rFonts w:asciiTheme="minorBidi" w:hAnsiTheme="minorBidi" w:cstheme="minorBidi"/>
        </w:rPr>
        <w:t xml:space="preserve"> HIS strengthening efforts focus mainly on providing evidence to address healthcare equity as the health system is the </w:t>
      </w:r>
      <w:proofErr w:type="gramStart"/>
      <w:r w:rsidR="000833E8">
        <w:rPr>
          <w:rFonts w:asciiTheme="minorBidi" w:hAnsiTheme="minorBidi" w:cstheme="minorBidi"/>
        </w:rPr>
        <w:t>main focus</w:t>
      </w:r>
      <w:proofErr w:type="gramEnd"/>
      <w:r w:rsidR="000833E8">
        <w:rPr>
          <w:rFonts w:asciiTheme="minorBidi" w:hAnsiTheme="minorBidi" w:cstheme="minorBidi"/>
        </w:rPr>
        <w:t xml:space="preserve"> and sole player, they do not provide information on health status inequities which are the responsibility of the “Whole-of-Government” policies and actions. </w:t>
      </w:r>
      <w:r w:rsidR="00997D39" w:rsidRPr="008C1B67">
        <w:rPr>
          <w:rFonts w:asciiTheme="minorBidi" w:hAnsiTheme="minorBidi" w:cstheme="minorBidi"/>
        </w:rPr>
        <w:t xml:space="preserve">All these factors </w:t>
      </w:r>
      <w:r w:rsidR="008C1B67">
        <w:rPr>
          <w:rFonts w:asciiTheme="minorBidi" w:hAnsiTheme="minorBidi" w:cstheme="minorBidi"/>
        </w:rPr>
        <w:t>mark the</w:t>
      </w:r>
      <w:r w:rsidR="00997D39" w:rsidRPr="008C1B67">
        <w:rPr>
          <w:rFonts w:asciiTheme="minorBidi" w:hAnsiTheme="minorBidi" w:cstheme="minorBidi"/>
        </w:rPr>
        <w:t xml:space="preserve"> </w:t>
      </w:r>
      <w:r w:rsidR="002904F8" w:rsidRPr="008C1B67">
        <w:rPr>
          <w:rFonts w:asciiTheme="minorBidi" w:hAnsiTheme="minorBidi" w:cstheme="minorBidi"/>
          <w:bCs/>
          <w:color w:val="000000" w:themeColor="text1"/>
        </w:rPr>
        <w:t>lack</w:t>
      </w:r>
      <w:r w:rsidR="00997D39" w:rsidRPr="008C1B67">
        <w:rPr>
          <w:rFonts w:asciiTheme="minorBidi" w:hAnsiTheme="minorBidi" w:cstheme="minorBidi"/>
          <w:bCs/>
          <w:color w:val="000000" w:themeColor="text1"/>
        </w:rPr>
        <w:t xml:space="preserve"> of</w:t>
      </w:r>
      <w:r w:rsidR="002904F8" w:rsidRPr="008C1B67">
        <w:rPr>
          <w:rFonts w:asciiTheme="minorBidi" w:hAnsiTheme="minorBidi" w:cstheme="minorBidi"/>
          <w:bCs/>
          <w:color w:val="000000" w:themeColor="text1"/>
        </w:rPr>
        <w:t xml:space="preserve"> timely, high quality comprehensive data on SDH</w:t>
      </w:r>
      <w:r w:rsidR="00997D39" w:rsidRPr="008C1B67">
        <w:rPr>
          <w:rFonts w:asciiTheme="minorBidi" w:hAnsiTheme="minorBidi" w:cstheme="minorBidi"/>
          <w:bCs/>
          <w:color w:val="000000" w:themeColor="text1"/>
        </w:rPr>
        <w:t xml:space="preserve"> (</w:t>
      </w:r>
      <w:proofErr w:type="spellStart"/>
      <w:r w:rsidR="00997D39" w:rsidRPr="008C1B67">
        <w:rPr>
          <w:rFonts w:asciiTheme="minorBidi" w:hAnsiTheme="minorBidi" w:cstheme="minorBidi"/>
        </w:rPr>
        <w:t>Exworthy</w:t>
      </w:r>
      <w:proofErr w:type="spellEnd"/>
      <w:r w:rsidR="00997D39" w:rsidRPr="008C1B67">
        <w:rPr>
          <w:rFonts w:asciiTheme="minorBidi" w:hAnsiTheme="minorBidi" w:cstheme="minorBidi"/>
        </w:rPr>
        <w:t xml:space="preserve"> M 2008</w:t>
      </w:r>
      <w:r w:rsidR="008C1B67" w:rsidRPr="008C1B67">
        <w:rPr>
          <w:rFonts w:asciiTheme="minorBidi" w:hAnsiTheme="minorBidi" w:cstheme="minorBidi"/>
        </w:rPr>
        <w:t>; Guerra et al 2016</w:t>
      </w:r>
      <w:r w:rsidR="00997D39" w:rsidRPr="008C1B67">
        <w:rPr>
          <w:rFonts w:asciiTheme="minorBidi" w:hAnsiTheme="minorBidi" w:cstheme="minorBidi"/>
          <w:bCs/>
          <w:color w:val="000000" w:themeColor="text1"/>
        </w:rPr>
        <w:t>)</w:t>
      </w:r>
      <w:r w:rsidR="008C1B67" w:rsidRPr="008C1B67">
        <w:rPr>
          <w:rFonts w:asciiTheme="minorBidi" w:hAnsiTheme="minorBidi" w:cstheme="minorBidi"/>
          <w:bCs/>
          <w:color w:val="000000" w:themeColor="text1"/>
        </w:rPr>
        <w:t>.</w:t>
      </w:r>
      <w:r w:rsidR="00997D39" w:rsidRPr="008C1B67">
        <w:rPr>
          <w:rFonts w:asciiTheme="minorBidi" w:hAnsiTheme="minorBidi" w:cstheme="minorBidi"/>
          <w:bCs/>
          <w:color w:val="000000" w:themeColor="text1"/>
        </w:rPr>
        <w:t xml:space="preserve"> </w:t>
      </w:r>
    </w:p>
    <w:p w14:paraId="37EAB213" w14:textId="4119F0BC" w:rsidR="00DF2938" w:rsidRPr="00AB4B35" w:rsidRDefault="00DF2938" w:rsidP="00AB4B35">
      <w:pPr>
        <w:rPr>
          <w:rFonts w:asciiTheme="minorBidi" w:hAnsiTheme="minorBidi" w:cstheme="minorBidi"/>
        </w:rPr>
      </w:pPr>
    </w:p>
    <w:p w14:paraId="1829A834" w14:textId="56F5E8E1" w:rsidR="0025086E" w:rsidRPr="00274C97" w:rsidRDefault="00AD2466" w:rsidP="0025086E">
      <w:pPr>
        <w:pStyle w:val="Heading3"/>
      </w:pPr>
      <w:bookmarkStart w:id="114" w:name="_Toc69739863"/>
      <w:r>
        <w:t>II.</w:t>
      </w:r>
      <w:r w:rsidR="001C3812">
        <w:t>2</w:t>
      </w:r>
      <w:r w:rsidR="0025086E">
        <w:t>.6.</w:t>
      </w:r>
      <w:r w:rsidR="0025086E" w:rsidRPr="00274C97">
        <w:t xml:space="preserve"> The produced health related data may not satisfy the stakeholders</w:t>
      </w:r>
      <w:r w:rsidR="0025086E">
        <w:t>’</w:t>
      </w:r>
      <w:r w:rsidR="0025086E" w:rsidRPr="00274C97">
        <w:t xml:space="preserve"> needs</w:t>
      </w:r>
      <w:bookmarkEnd w:id="114"/>
    </w:p>
    <w:p w14:paraId="583DC5ED" w14:textId="7B550711" w:rsidR="0092472F" w:rsidRDefault="0025086E" w:rsidP="0025086E">
      <w:r>
        <w:t>Despite the disease focus, many health-related data remain unavailable, notably in developing countries</w:t>
      </w:r>
      <w:r w:rsidR="00850F82">
        <w:t>. E</w:t>
      </w:r>
      <w:r>
        <w:t>xample</w:t>
      </w:r>
      <w:r w:rsidR="00850F82">
        <w:t xml:space="preserve"> of these include</w:t>
      </w:r>
      <w:r>
        <w:t xml:space="preserve"> mental health problems, injuries, renal diseases</w:t>
      </w:r>
      <w:r w:rsidR="0092472F">
        <w:t>, and many others. The available type of data is not sufficient to alert policy makers to the magnitude of inequalities and the priority health inequalities.</w:t>
      </w:r>
      <w:r>
        <w:t xml:space="preserve"> The need for health-related data</w:t>
      </w:r>
      <w:r w:rsidRPr="00053535">
        <w:t xml:space="preserve"> </w:t>
      </w:r>
      <w:r w:rsidR="0092472F">
        <w:t xml:space="preserve">and the range of SDH </w:t>
      </w:r>
      <w:r>
        <w:t>aggravates the fragility of the HIS, especially when coupled with lack of financial resources and human capabilities</w:t>
      </w:r>
      <w:r w:rsidR="00DE2C89">
        <w:t xml:space="preserve"> (WHO 2012</w:t>
      </w:r>
      <w:r w:rsidR="0092472F">
        <w:t>; Shawky 2018; Rashad et al 2019</w:t>
      </w:r>
      <w:r w:rsidR="00DE2C89">
        <w:t>)</w:t>
      </w:r>
      <w:r>
        <w:t xml:space="preserve">. </w:t>
      </w:r>
    </w:p>
    <w:p w14:paraId="086FD421" w14:textId="77777777" w:rsidR="0092472F" w:rsidRDefault="0092472F" w:rsidP="0025086E"/>
    <w:p w14:paraId="540C1B5B" w14:textId="79934266" w:rsidR="0025086E" w:rsidRDefault="0025086E" w:rsidP="0009729A">
      <w:r>
        <w:t xml:space="preserve">In addition, the presentation of health-related data is frequently aimed at academics with little effort to present the information in formats that are comprehensible to policymakers, the public or those working in sectors other than health. As a result, there is a widely established perception that health information is obscure, </w:t>
      </w:r>
      <w:proofErr w:type="gramStart"/>
      <w:r>
        <w:t>unclear</w:t>
      </w:r>
      <w:proofErr w:type="gramEnd"/>
      <w:r>
        <w:t xml:space="preserve"> and sometimes contradictory. When data are not available in response to stakeholders needs, there may be a loss of attention to its role, a vicious cycle of under-investment, low </w:t>
      </w:r>
      <w:proofErr w:type="gramStart"/>
      <w:r>
        <w:t>production</w:t>
      </w:r>
      <w:proofErr w:type="gramEnd"/>
      <w:r>
        <w:t xml:space="preserve"> and no use</w:t>
      </w:r>
      <w:r w:rsidR="0009729A">
        <w:t xml:space="preserve">. </w:t>
      </w:r>
      <w:r>
        <w:t>Particularly</w:t>
      </w:r>
      <w:r w:rsidR="00F44872">
        <w:t xml:space="preserve">, </w:t>
      </w:r>
      <w:r>
        <w:t>decision-makers need information that is relevant, reliable</w:t>
      </w:r>
      <w:r w:rsidR="00DF2D77">
        <w:t xml:space="preserve">, </w:t>
      </w:r>
      <w:r>
        <w:t>timely</w:t>
      </w:r>
      <w:r w:rsidR="00DF2D77">
        <w:t xml:space="preserve"> and direct</w:t>
      </w:r>
      <w:r>
        <w:t>. The literature presents many anecdotal accounts that even with high-quality information</w:t>
      </w:r>
      <w:r w:rsidR="00F44872">
        <w:t>,</w:t>
      </w:r>
      <w:r>
        <w:t xml:space="preserve"> its appropriate use in the </w:t>
      </w:r>
      <w:proofErr w:type="gramStart"/>
      <w:r w:rsidR="00AD2466">
        <w:t>decision making</w:t>
      </w:r>
      <w:proofErr w:type="gramEnd"/>
      <w:r>
        <w:t xml:space="preserve"> process is not guaranteed</w:t>
      </w:r>
      <w:r w:rsidR="0092472F">
        <w:t xml:space="preserve"> (WHO 20</w:t>
      </w:r>
      <w:r w:rsidR="008B6417">
        <w:t>1</w:t>
      </w:r>
      <w:r w:rsidR="0092472F">
        <w:t>2)</w:t>
      </w:r>
    </w:p>
    <w:p w14:paraId="10644D3D" w14:textId="77777777" w:rsidR="0025086E" w:rsidRDefault="0025086E" w:rsidP="009F4757"/>
    <w:p w14:paraId="613DB599" w14:textId="5210FBDD" w:rsidR="002D6638" w:rsidRPr="00AD2466" w:rsidRDefault="00AD2466" w:rsidP="00AD2466">
      <w:pPr>
        <w:pStyle w:val="Heading2"/>
      </w:pPr>
      <w:bookmarkStart w:id="115" w:name="_Toc69739865"/>
      <w:bookmarkStart w:id="116" w:name="_Toc72945496"/>
      <w:bookmarkStart w:id="117" w:name="_Toc72949612"/>
      <w:bookmarkStart w:id="118" w:name="_Toc72950107"/>
      <w:bookmarkStart w:id="119" w:name="_Toc72999764"/>
      <w:bookmarkStart w:id="120" w:name="_Toc81138431"/>
      <w:bookmarkStart w:id="121" w:name="_Toc83818776"/>
      <w:bookmarkStart w:id="122" w:name="_Toc83819388"/>
      <w:bookmarkStart w:id="123" w:name="_Toc84408413"/>
      <w:r w:rsidRPr="00AD2466">
        <w:t>II.</w:t>
      </w:r>
      <w:r w:rsidR="00990A6E" w:rsidRPr="00AD2466">
        <w:t>3</w:t>
      </w:r>
      <w:r w:rsidR="008724C1" w:rsidRPr="00AD2466">
        <w:t>.</w:t>
      </w:r>
      <w:r w:rsidR="00331EB7" w:rsidRPr="00AD2466">
        <w:t xml:space="preserve"> </w:t>
      </w:r>
      <w:r w:rsidR="00B01021" w:rsidRPr="00AD2466">
        <w:t>The challenge</w:t>
      </w:r>
      <w:r w:rsidR="00060E13" w:rsidRPr="00AD2466">
        <w:t xml:space="preserve">s </w:t>
      </w:r>
      <w:r w:rsidRPr="00AD2466">
        <w:t>in proposing an equity sensitive</w:t>
      </w:r>
      <w:r w:rsidR="00060E13" w:rsidRPr="00AD2466">
        <w:t xml:space="preserve"> information system</w:t>
      </w:r>
      <w:r w:rsidRPr="00AD2466">
        <w:t xml:space="preserve"> for health</w:t>
      </w:r>
      <w:bookmarkEnd w:id="115"/>
      <w:bookmarkEnd w:id="116"/>
      <w:bookmarkEnd w:id="117"/>
      <w:bookmarkEnd w:id="118"/>
      <w:bookmarkEnd w:id="119"/>
      <w:bookmarkEnd w:id="120"/>
      <w:bookmarkEnd w:id="121"/>
      <w:bookmarkEnd w:id="122"/>
      <w:bookmarkEnd w:id="123"/>
    </w:p>
    <w:p w14:paraId="1C78BE40" w14:textId="69BAC385" w:rsidR="00CB3F09" w:rsidRPr="00967F99" w:rsidRDefault="009969B4" w:rsidP="008A5DD9">
      <w:pPr>
        <w:pStyle w:val="Heading3"/>
      </w:pPr>
      <w:bookmarkStart w:id="124" w:name="_Toc69739866"/>
      <w:r>
        <w:t>II.</w:t>
      </w:r>
      <w:r w:rsidR="001C3812">
        <w:t>3</w:t>
      </w:r>
      <w:r w:rsidR="00B95A19">
        <w:t>.</w:t>
      </w:r>
      <w:r w:rsidR="00146CD9" w:rsidRPr="00967F99">
        <w:t>1</w:t>
      </w:r>
      <w:r w:rsidR="00B95A19">
        <w:t>.</w:t>
      </w:r>
      <w:r w:rsidR="00E45B87" w:rsidRPr="00967F99">
        <w:t xml:space="preserve"> </w:t>
      </w:r>
      <w:r w:rsidR="00850F82">
        <w:t>Difficulties in m</w:t>
      </w:r>
      <w:r w:rsidR="00B01021" w:rsidRPr="00967F99">
        <w:t>easuring health</w:t>
      </w:r>
      <w:r w:rsidR="00F26F5C">
        <w:t xml:space="preserve"> </w:t>
      </w:r>
      <w:bookmarkEnd w:id="124"/>
    </w:p>
    <w:p w14:paraId="07E3C6C0" w14:textId="33C6063B" w:rsidR="00B01021" w:rsidRDefault="005B1B7D" w:rsidP="006A722E">
      <w:r>
        <w:t xml:space="preserve">Measuring health </w:t>
      </w:r>
      <w:r w:rsidR="00850F82">
        <w:t xml:space="preserve">conditions/diseases </w:t>
      </w:r>
      <w:r>
        <w:t xml:space="preserve">is conceptually and technically complex, requiring </w:t>
      </w:r>
      <w:r w:rsidR="00630B52">
        <w:t xml:space="preserve">public health, </w:t>
      </w:r>
      <w:r w:rsidR="00EB066B">
        <w:t xml:space="preserve">medical and statistical </w:t>
      </w:r>
      <w:proofErr w:type="gramStart"/>
      <w:r>
        <w:t>knowledge</w:t>
      </w:r>
      <w:proofErr w:type="gramEnd"/>
      <w:r>
        <w:t xml:space="preserve"> and expertise unique to each disease or program area. Accurate measurement </w:t>
      </w:r>
      <w:r w:rsidR="00850F82">
        <w:t xml:space="preserve">of diseases </w:t>
      </w:r>
      <w:r w:rsidR="00630B52">
        <w:t xml:space="preserve">relies on standard case definition as the WHO international classification of diseases (ICD). It also </w:t>
      </w:r>
      <w:r>
        <w:t xml:space="preserve">depends upon the availability of </w:t>
      </w:r>
      <w:r w:rsidR="00552B28">
        <w:t>clinical diagnoses and</w:t>
      </w:r>
      <w:r w:rsidR="00EB066B">
        <w:t xml:space="preserve"> </w:t>
      </w:r>
      <w:r>
        <w:t xml:space="preserve">disease-specific </w:t>
      </w:r>
      <w:r w:rsidR="00EB066B">
        <w:t>investigations</w:t>
      </w:r>
      <w:r>
        <w:t xml:space="preserve">. </w:t>
      </w:r>
      <w:r w:rsidR="00630B52">
        <w:t xml:space="preserve">In developing countries, ICD </w:t>
      </w:r>
      <w:r w:rsidR="00A80C75">
        <w:t xml:space="preserve">codes </w:t>
      </w:r>
      <w:r w:rsidR="00630B52">
        <w:t>are hardly used to report</w:t>
      </w:r>
      <w:r w:rsidR="007601DD">
        <w:t xml:space="preserve"> heath cond</w:t>
      </w:r>
      <w:r w:rsidR="00E44AFE">
        <w:t xml:space="preserve">itions </w:t>
      </w:r>
      <w:r w:rsidR="008B6417">
        <w:t>(Sahay et al 2020)</w:t>
      </w:r>
      <w:r w:rsidR="00630B52">
        <w:t xml:space="preserve">. If </w:t>
      </w:r>
      <w:proofErr w:type="gramStart"/>
      <w:r w:rsidR="00630B52">
        <w:t>used</w:t>
      </w:r>
      <w:proofErr w:type="gramEnd"/>
      <w:r w:rsidR="00630B52">
        <w:t xml:space="preserve"> they are just </w:t>
      </w:r>
      <w:r w:rsidR="00552B28">
        <w:t xml:space="preserve">applied on death certificates to register </w:t>
      </w:r>
      <w:r w:rsidR="00552B28">
        <w:lastRenderedPageBreak/>
        <w:t>the causes of death. ICD are not used to code health conditions</w:t>
      </w:r>
      <w:r w:rsidR="00C9659A">
        <w:t xml:space="preserve"> of the newborn</w:t>
      </w:r>
      <w:r w:rsidR="00850F82">
        <w:t>s</w:t>
      </w:r>
      <w:r w:rsidR="00C9659A">
        <w:t xml:space="preserve"> or parents</w:t>
      </w:r>
      <w:r w:rsidR="00552B28">
        <w:t xml:space="preserve"> in birth certificates </w:t>
      </w:r>
      <w:r w:rsidR="008B6417">
        <w:t>which</w:t>
      </w:r>
      <w:r w:rsidR="00552B28">
        <w:t xml:space="preserve"> </w:t>
      </w:r>
      <w:r w:rsidR="00446A07">
        <w:t>are</w:t>
      </w:r>
      <w:r w:rsidR="00552B28">
        <w:t xml:space="preserve"> not even used to provide population total denominators.</w:t>
      </w:r>
      <w:r w:rsidR="00630B52">
        <w:t xml:space="preserve"> </w:t>
      </w:r>
      <w:r w:rsidR="006F0899">
        <w:t xml:space="preserve">Health conditions reported in census or household surveys are </w:t>
      </w:r>
      <w:r w:rsidR="00850F82">
        <w:t xml:space="preserve">mostly </w:t>
      </w:r>
      <w:r w:rsidR="006F0899">
        <w:t xml:space="preserve">those provided by participants </w:t>
      </w:r>
      <w:r w:rsidR="0048704E">
        <w:t xml:space="preserve">with no further confirmatory diagnoses or investigations. </w:t>
      </w:r>
      <w:r>
        <w:t xml:space="preserve">As a result, </w:t>
      </w:r>
      <w:r w:rsidR="006A722E">
        <w:t xml:space="preserve">population-based </w:t>
      </w:r>
      <w:r>
        <w:t xml:space="preserve">health statistics </w:t>
      </w:r>
      <w:r w:rsidR="00552B28">
        <w:t xml:space="preserve">is </w:t>
      </w:r>
      <w:r w:rsidR="006A722E">
        <w:t>limited</w:t>
      </w:r>
      <w:r>
        <w:t xml:space="preserve"> i</w:t>
      </w:r>
      <w:r w:rsidR="00F15571">
        <w:t>n terms of scientific soundness and usability</w:t>
      </w:r>
      <w:r>
        <w:t>.</w:t>
      </w:r>
      <w:r w:rsidR="005261AE">
        <w:t xml:space="preserve"> </w:t>
      </w:r>
    </w:p>
    <w:p w14:paraId="7452AABA" w14:textId="77777777" w:rsidR="00B01021" w:rsidRDefault="00B01021" w:rsidP="002D6638"/>
    <w:p w14:paraId="226CA30C" w14:textId="33F69F86" w:rsidR="00B01021" w:rsidRPr="00967F99" w:rsidRDefault="009969B4" w:rsidP="008A5DD9">
      <w:pPr>
        <w:pStyle w:val="Heading3"/>
      </w:pPr>
      <w:bookmarkStart w:id="125" w:name="_Toc69739867"/>
      <w:r>
        <w:t>II.</w:t>
      </w:r>
      <w:r w:rsidR="001C3812">
        <w:t>3</w:t>
      </w:r>
      <w:r w:rsidR="008A5DD9">
        <w:t>.2</w:t>
      </w:r>
      <w:r w:rsidR="00B95A19">
        <w:t>.</w:t>
      </w:r>
      <w:r w:rsidR="00E45B87" w:rsidRPr="00967F99">
        <w:t xml:space="preserve"> </w:t>
      </w:r>
      <w:r w:rsidR="00F26F5C">
        <w:t>I</w:t>
      </w:r>
      <w:r w:rsidR="00B01021" w:rsidRPr="00967F99">
        <w:t>nequities</w:t>
      </w:r>
      <w:r w:rsidR="00E45B87" w:rsidRPr="00967F99">
        <w:t xml:space="preserve"> in health </w:t>
      </w:r>
      <w:r w:rsidR="00F26F5C">
        <w:t xml:space="preserve">are not </w:t>
      </w:r>
      <w:r w:rsidR="00850F82">
        <w:t xml:space="preserve">directly </w:t>
      </w:r>
      <w:r w:rsidR="00F26F5C">
        <w:t xml:space="preserve">measurable but are </w:t>
      </w:r>
      <w:r w:rsidR="00850F82">
        <w:t>inferred</w:t>
      </w:r>
      <w:r w:rsidR="00F26F5C">
        <w:t xml:space="preserve"> from the unfair systematic inequalities in health</w:t>
      </w:r>
      <w:bookmarkEnd w:id="125"/>
    </w:p>
    <w:p w14:paraId="17A95AB4" w14:textId="050AA8F1" w:rsidR="00933AA7" w:rsidRDefault="00851D76" w:rsidP="00933AA7">
      <w:r>
        <w:t xml:space="preserve">Fundamental to achieving the health equity goal is the ability of countries to identify and monitor progress on the health </w:t>
      </w:r>
      <w:r w:rsidR="00577F4B">
        <w:t xml:space="preserve">status and health equity </w:t>
      </w:r>
      <w:r>
        <w:t>front ‘‘</w:t>
      </w:r>
      <w:r w:rsidR="008B6417">
        <w:t>L</w:t>
      </w:r>
      <w:r>
        <w:t xml:space="preserve">eaving </w:t>
      </w:r>
      <w:r w:rsidR="008B6417">
        <w:t>N</w:t>
      </w:r>
      <w:r>
        <w:t xml:space="preserve">o </w:t>
      </w:r>
      <w:r w:rsidR="008B6417">
        <w:t>O</w:t>
      </w:r>
      <w:r>
        <w:t xml:space="preserve">ne </w:t>
      </w:r>
      <w:r w:rsidR="008B6417">
        <w:t>B</w:t>
      </w:r>
      <w:r>
        <w:t xml:space="preserve">ehind.’’ However, inequities in health are not </w:t>
      </w:r>
      <w:r w:rsidR="00646F1E">
        <w:t xml:space="preserve">directly </w:t>
      </w:r>
      <w:r>
        <w:t>measur</w:t>
      </w:r>
      <w:r w:rsidR="00646F1E">
        <w:t>ed</w:t>
      </w:r>
      <w:r>
        <w:t xml:space="preserve"> but </w:t>
      </w:r>
      <w:r w:rsidR="00646F1E">
        <w:t xml:space="preserve">are </w:t>
      </w:r>
      <w:r w:rsidR="00485573">
        <w:t>judged</w:t>
      </w:r>
      <w:r>
        <w:t xml:space="preserve"> from the existence of systematic inequalities in health distribution</w:t>
      </w:r>
      <w:r w:rsidR="00577F4B">
        <w:t xml:space="preserve"> among the various social groups</w:t>
      </w:r>
      <w:r>
        <w:t xml:space="preserve">. But still, measuring inequalities in health is complex because it requires a method that encompasses </w:t>
      </w:r>
      <w:r w:rsidR="00485573">
        <w:t xml:space="preserve">inferring the </w:t>
      </w:r>
      <w:r w:rsidR="00646F1E">
        <w:t>observed inequalities to the unfairness of their underlying causes</w:t>
      </w:r>
      <w:r w:rsidR="00577F4B">
        <w:t xml:space="preserve"> (</w:t>
      </w:r>
      <w:r w:rsidR="008B6417">
        <w:t xml:space="preserve">Wagstaff 1991; Asada 2006; </w:t>
      </w:r>
      <w:proofErr w:type="spellStart"/>
      <w:r w:rsidR="008B6417">
        <w:t>Braveman</w:t>
      </w:r>
      <w:proofErr w:type="spellEnd"/>
      <w:r w:rsidR="008B6417">
        <w:t xml:space="preserve"> 2006; Shawky 2018)</w:t>
      </w:r>
      <w:r w:rsidR="00577F4B">
        <w:t>.</w:t>
      </w:r>
      <w:r>
        <w:t xml:space="preserve"> The chief pillars of this method include identifying the </w:t>
      </w:r>
      <w:r w:rsidR="008B6417">
        <w:t xml:space="preserve">context specific </w:t>
      </w:r>
      <w:r>
        <w:t xml:space="preserve">social dimensions that render people underprivileged, quantifying the unanticipated health inequalities across the population subgroups, as well as </w:t>
      </w:r>
      <w:r w:rsidR="00F15571">
        <w:t xml:space="preserve">linking the unequal health outcomes to the inequalities in the multilevel </w:t>
      </w:r>
      <w:r w:rsidR="008B6417">
        <w:t xml:space="preserve">structural and intermediate </w:t>
      </w:r>
      <w:r w:rsidR="00F15571">
        <w:t xml:space="preserve">social determinants. </w:t>
      </w:r>
      <w:r w:rsidR="009758F0">
        <w:t>These basic requirements are a shared global challenge as the HIS are still struggling towards applying an SDH approach and health equity lens.</w:t>
      </w:r>
    </w:p>
    <w:p w14:paraId="1F8EA50B" w14:textId="77777777" w:rsidR="00933AA7" w:rsidRDefault="00933AA7" w:rsidP="00933AA7"/>
    <w:p w14:paraId="72049785" w14:textId="35558BBA" w:rsidR="001900E8" w:rsidRPr="009A41C3" w:rsidRDefault="009969B4" w:rsidP="008A5DD9">
      <w:pPr>
        <w:pStyle w:val="Heading3"/>
      </w:pPr>
      <w:bookmarkStart w:id="126" w:name="_Toc69739868"/>
      <w:r>
        <w:t>II.</w:t>
      </w:r>
      <w:r w:rsidR="001C3812">
        <w:t>3</w:t>
      </w:r>
      <w:r w:rsidR="00B95A19">
        <w:t>.3</w:t>
      </w:r>
      <w:r w:rsidR="008A5DD9">
        <w:t>.</w:t>
      </w:r>
      <w:r w:rsidR="001900E8" w:rsidRPr="009A41C3">
        <w:t xml:space="preserve"> </w:t>
      </w:r>
      <w:r w:rsidR="009A41C3" w:rsidRPr="009A41C3">
        <w:t>The</w:t>
      </w:r>
      <w:r w:rsidR="009A41C3">
        <w:t>r</w:t>
      </w:r>
      <w:r w:rsidR="009A41C3" w:rsidRPr="009A41C3">
        <w:t xml:space="preserve">e is no consensus on social </w:t>
      </w:r>
      <w:proofErr w:type="spellStart"/>
      <w:r w:rsidR="009A41C3" w:rsidRPr="009A41C3">
        <w:t>stratifier</w:t>
      </w:r>
      <w:proofErr w:type="spellEnd"/>
      <w:r w:rsidR="009A41C3" w:rsidRPr="009A41C3">
        <w:t>(s) that can alert countries to health inequalities and guide further policies and actions</w:t>
      </w:r>
      <w:bookmarkEnd w:id="126"/>
    </w:p>
    <w:p w14:paraId="7E7F7E7D" w14:textId="26E07DAF" w:rsidR="002B02FE" w:rsidRDefault="00C9795F" w:rsidP="00E373CF">
      <w:r>
        <w:t>In the literature</w:t>
      </w:r>
      <w:r w:rsidR="00933AA7">
        <w:t xml:space="preserve"> (</w:t>
      </w:r>
      <w:r w:rsidR="004775B4">
        <w:t xml:space="preserve">Wagstaff 1991; Asada 2006; </w:t>
      </w:r>
      <w:proofErr w:type="spellStart"/>
      <w:r w:rsidR="004775B4">
        <w:t>Braveman</w:t>
      </w:r>
      <w:proofErr w:type="spellEnd"/>
      <w:r w:rsidR="004775B4">
        <w:t xml:space="preserve"> 2006;</w:t>
      </w:r>
      <w:r w:rsidR="00626603">
        <w:t xml:space="preserve"> O’Donnell et al 2008; </w:t>
      </w:r>
      <w:proofErr w:type="spellStart"/>
      <w:r w:rsidR="00626603">
        <w:t>Spinakis</w:t>
      </w:r>
      <w:proofErr w:type="spellEnd"/>
      <w:r w:rsidR="00626603">
        <w:t xml:space="preserve"> et al 2011;</w:t>
      </w:r>
      <w:r w:rsidR="004775B4">
        <w:t xml:space="preserve"> Shawky 2018</w:t>
      </w:r>
      <w:proofErr w:type="gramStart"/>
      <w:r w:rsidR="004775B4">
        <w:t>; )</w:t>
      </w:r>
      <w:proofErr w:type="gramEnd"/>
      <w:r>
        <w:t>, as well as, in SDGs, there is wealth of information that can be used to reflect the social dimensions of ill</w:t>
      </w:r>
      <w:r w:rsidR="00F54BC6">
        <w:t>-health</w:t>
      </w:r>
      <w:r>
        <w:t xml:space="preserve"> and guide policies to improve health and promote health equity. The social </w:t>
      </w:r>
      <w:proofErr w:type="spellStart"/>
      <w:r>
        <w:t>stratifiers</w:t>
      </w:r>
      <w:proofErr w:type="spellEnd"/>
      <w:r>
        <w:t xml:space="preserve"> recommended in literature are reflected in SDG17.1</w:t>
      </w:r>
      <w:r w:rsidR="00933AA7">
        <w:t>8 which defines a large ra</w:t>
      </w:r>
      <w:r w:rsidR="009758F0">
        <w:t>n</w:t>
      </w:r>
      <w:r w:rsidR="00933AA7">
        <w:t>ge of social stratifications</w:t>
      </w:r>
      <w:r>
        <w:t xml:space="preserve"> “</w:t>
      </w:r>
      <w:r w:rsidR="00933AA7" w:rsidRPr="001162CD">
        <w:rPr>
          <w:b/>
          <w:bCs/>
          <w:i/>
          <w:iCs/>
        </w:rPr>
        <w:t>income, gender, age, race, ethnicity, migratory status, disability, geographic location and other characteristics relevant in national contexts</w:t>
      </w:r>
      <w:r>
        <w:t>”</w:t>
      </w:r>
      <w:r w:rsidR="00933AA7">
        <w:t xml:space="preserve">. </w:t>
      </w:r>
    </w:p>
    <w:p w14:paraId="1CC735A7" w14:textId="6D7EE89F" w:rsidR="002B02FE" w:rsidRDefault="002B02FE" w:rsidP="00E373CF"/>
    <w:p w14:paraId="64C62041" w14:textId="7ED663BA" w:rsidR="003C6856" w:rsidRDefault="002B02FE" w:rsidP="00626603">
      <w:r>
        <w:t xml:space="preserve">However, the use of many social stratification will not allow for identifying priority health inequalities. A standard sensitive </w:t>
      </w:r>
      <w:proofErr w:type="spellStart"/>
      <w:r>
        <w:t>stratifier</w:t>
      </w:r>
      <w:proofErr w:type="spellEnd"/>
      <w:r w:rsidR="00626603">
        <w:t>,</w:t>
      </w:r>
      <w:r>
        <w:t xml:space="preserve"> as well as a minimum list of </w:t>
      </w:r>
      <w:proofErr w:type="gramStart"/>
      <w:r>
        <w:t>context</w:t>
      </w:r>
      <w:proofErr w:type="gramEnd"/>
      <w:r>
        <w:t xml:space="preserve"> specific </w:t>
      </w:r>
      <w:proofErr w:type="spellStart"/>
      <w:r>
        <w:t>stratifiers</w:t>
      </w:r>
      <w:proofErr w:type="spellEnd"/>
      <w:r>
        <w:t xml:space="preserve">, if included in the HIS, will perform better in identifying priority health inequalities and guiding the package of public policies. The challenge is to identify the </w:t>
      </w:r>
      <w:r w:rsidR="00626603">
        <w:t xml:space="preserve">standard </w:t>
      </w:r>
      <w:proofErr w:type="spellStart"/>
      <w:r>
        <w:t>stratifier</w:t>
      </w:r>
      <w:proofErr w:type="spellEnd"/>
      <w:r>
        <w:t xml:space="preserve">(s) sensitive to </w:t>
      </w:r>
      <w:r>
        <w:lastRenderedPageBreak/>
        <w:t xml:space="preserve">capture the health inequalities, as well as point to the underprivileged and underserved populations. </w:t>
      </w:r>
    </w:p>
    <w:p w14:paraId="7F170F94" w14:textId="77777777" w:rsidR="00626603" w:rsidRDefault="00626603" w:rsidP="00626603"/>
    <w:p w14:paraId="59EFC5A3" w14:textId="02A9BA17" w:rsidR="009A41C3" w:rsidRPr="009A41C3" w:rsidRDefault="009969B4" w:rsidP="008A5DD9">
      <w:pPr>
        <w:pStyle w:val="Heading3"/>
      </w:pPr>
      <w:bookmarkStart w:id="127" w:name="_Toc69739869"/>
      <w:r>
        <w:t>II.</w:t>
      </w:r>
      <w:r w:rsidR="001C3812">
        <w:t>3</w:t>
      </w:r>
      <w:r w:rsidR="00B95A19">
        <w:t>.4.</w:t>
      </w:r>
      <w:r w:rsidR="009A41C3" w:rsidRPr="009A41C3">
        <w:t xml:space="preserve"> T</w:t>
      </w:r>
      <w:r w:rsidR="0055160E">
        <w:t>he use</w:t>
      </w:r>
      <w:r w:rsidR="00206BB2">
        <w:t xml:space="preserve"> of simple gap measures is very misleading and does not provide sufficient evidence on the </w:t>
      </w:r>
      <w:r w:rsidR="009758F0">
        <w:t xml:space="preserve">magnitude and trend of </w:t>
      </w:r>
      <w:r w:rsidR="00206BB2">
        <w:t>health inequalities</w:t>
      </w:r>
      <w:bookmarkEnd w:id="127"/>
      <w:r w:rsidR="00206BB2">
        <w:t xml:space="preserve"> </w:t>
      </w:r>
    </w:p>
    <w:p w14:paraId="7A568858" w14:textId="243BF6D0" w:rsidR="00365E7E" w:rsidRDefault="004E6D5C" w:rsidP="00AB187C">
      <w:r>
        <w:t>The</w:t>
      </w:r>
      <w:r w:rsidR="0017064B">
        <w:t xml:space="preserve"> addition of an</w:t>
      </w:r>
      <w:r w:rsidR="0059029A">
        <w:t xml:space="preserve"> inequality measure</w:t>
      </w:r>
      <w:r w:rsidR="0017064B">
        <w:t>(</w:t>
      </w:r>
      <w:r w:rsidR="0059029A">
        <w:t>s</w:t>
      </w:r>
      <w:r w:rsidR="0017064B">
        <w:t xml:space="preserve">) </w:t>
      </w:r>
      <w:r>
        <w:t xml:space="preserve">in HIS </w:t>
      </w:r>
      <w:r w:rsidR="0017064B">
        <w:t>to alert countries to priority health inequalities is still not appreciated</w:t>
      </w:r>
      <w:r w:rsidR="0059029A">
        <w:t xml:space="preserve">. </w:t>
      </w:r>
      <w:r w:rsidR="0017064B" w:rsidRPr="00D03AB3">
        <w:t>It is customary known that prevalence and incidence measures act as an alarm to alert countries to the priority health conditions, which are further investigated within a country to identify the causes behind their spread.</w:t>
      </w:r>
      <w:r w:rsidR="0017064B">
        <w:t xml:space="preserve"> There is significant evidence that p</w:t>
      </w:r>
      <w:r w:rsidR="0017064B" w:rsidRPr="00D03AB3">
        <w:t xml:space="preserve">riority health conditions are not necessarily </w:t>
      </w:r>
      <w:r w:rsidR="00B82AF3">
        <w:t>the</w:t>
      </w:r>
      <w:r w:rsidR="0017064B" w:rsidRPr="00D03AB3">
        <w:t xml:space="preserve"> pri</w:t>
      </w:r>
      <w:r w:rsidR="0017064B">
        <w:t>ority health inequalitie</w:t>
      </w:r>
      <w:r w:rsidR="0017064B" w:rsidRPr="00D03AB3">
        <w:t>s</w:t>
      </w:r>
      <w:r w:rsidR="009C7301">
        <w:t xml:space="preserve"> (Rashad et al, 2019)</w:t>
      </w:r>
      <w:r w:rsidR="0017064B" w:rsidRPr="00D03AB3">
        <w:t>.</w:t>
      </w:r>
      <w:r w:rsidR="0017064B">
        <w:t xml:space="preserve"> </w:t>
      </w:r>
      <w:r w:rsidR="00AB187C">
        <w:t>This highlights the need to go beyond national averages</w:t>
      </w:r>
      <w:r w:rsidR="00365E7E">
        <w:t xml:space="preserve"> in measuring health</w:t>
      </w:r>
      <w:r w:rsidR="00AB187C">
        <w:t xml:space="preserve">. </w:t>
      </w:r>
    </w:p>
    <w:p w14:paraId="3C2A0319" w14:textId="77777777" w:rsidR="00365E7E" w:rsidRDefault="00365E7E" w:rsidP="00AB187C"/>
    <w:p w14:paraId="576841C7" w14:textId="47169822" w:rsidR="00DE06C3" w:rsidRDefault="00AB187C" w:rsidP="00AB187C">
      <w:r>
        <w:t>Consequently</w:t>
      </w:r>
      <w:r w:rsidR="00365E7E">
        <w:t>,</w:t>
      </w:r>
      <w:r>
        <w:t xml:space="preserve"> </w:t>
      </w:r>
      <w:r w:rsidR="0017064B">
        <w:t>providing</w:t>
      </w:r>
      <w:r w:rsidR="00365E7E">
        <w:t xml:space="preserve"> health-related data</w:t>
      </w:r>
      <w:r w:rsidR="0017064B">
        <w:t xml:space="preserve"> disaggregated by social stratification </w:t>
      </w:r>
      <w:r>
        <w:t>became a must. However</w:t>
      </w:r>
      <w:r w:rsidR="00365E7E">
        <w:t xml:space="preserve">, </w:t>
      </w:r>
      <w:r>
        <w:t xml:space="preserve">even with such data, the problem is </w:t>
      </w:r>
      <w:r w:rsidR="0017064B">
        <w:t>not solve</w:t>
      </w:r>
      <w:r>
        <w:t>d</w:t>
      </w:r>
      <w:r w:rsidR="0017064B">
        <w:t xml:space="preserve">. Disaggregated data illustrate the likelihood that certain </w:t>
      </w:r>
      <w:r w:rsidR="00E533E5">
        <w:t>population</w:t>
      </w:r>
      <w:r w:rsidR="0017064B">
        <w:t xml:space="preserve"> </w:t>
      </w:r>
      <w:r w:rsidR="00E533E5">
        <w:t>sub</w:t>
      </w:r>
      <w:r w:rsidR="0017064B">
        <w:t>groups are more at risk</w:t>
      </w:r>
      <w:r w:rsidR="00775A91">
        <w:t xml:space="preserve"> or more likely</w:t>
      </w:r>
      <w:r w:rsidR="0017064B">
        <w:t xml:space="preserve"> to develop unfavorable health status as compared with the other groups. Comparing the prevalence or incidence in the various social groups </w:t>
      </w:r>
      <w:r w:rsidR="00EE46BE">
        <w:t xml:space="preserve">using a relative or absolute gap measure is still insufficient. In </w:t>
      </w:r>
      <w:r w:rsidR="00B82AF3">
        <w:t xml:space="preserve">the </w:t>
      </w:r>
      <w:r w:rsidR="00EE46BE">
        <w:t xml:space="preserve">very early years of the new millennium, the WHO used to present the risk ratios </w:t>
      </w:r>
      <w:r w:rsidR="00001B90">
        <w:t>for</w:t>
      </w:r>
      <w:r w:rsidR="00EE46BE">
        <w:t xml:space="preserve"> </w:t>
      </w:r>
      <w:r w:rsidR="00001B90">
        <w:t>poorest/richest</w:t>
      </w:r>
      <w:r w:rsidR="00EE46BE">
        <w:t xml:space="preserve">, </w:t>
      </w:r>
      <w:r w:rsidR="00001B90">
        <w:t>females/males</w:t>
      </w:r>
      <w:r w:rsidR="00EE46BE">
        <w:t>, rural</w:t>
      </w:r>
      <w:r w:rsidR="00FB6EF9">
        <w:t>/</w:t>
      </w:r>
      <w:r w:rsidR="00FB6EF9" w:rsidRPr="00FB6EF9">
        <w:t xml:space="preserve"> </w:t>
      </w:r>
      <w:r w:rsidR="00FB6EF9">
        <w:t>urban</w:t>
      </w:r>
      <w:r w:rsidR="00EE46BE">
        <w:t xml:space="preserve"> and mother’s </w:t>
      </w:r>
      <w:r w:rsidR="00FB6EF9">
        <w:t xml:space="preserve">no/high </w:t>
      </w:r>
      <w:r w:rsidR="00EE46BE">
        <w:t>education in its global statistical report. Yet give</w:t>
      </w:r>
      <w:r w:rsidR="00B82AF3">
        <w:t>n</w:t>
      </w:r>
      <w:r w:rsidR="00EE46BE">
        <w:t xml:space="preserve"> the many limitations notably that </w:t>
      </w:r>
      <w:r w:rsidR="00146D64">
        <w:t xml:space="preserve">a </w:t>
      </w:r>
      <w:r w:rsidR="00B82AF3">
        <w:t xml:space="preserve">risk ratio </w:t>
      </w:r>
      <w:r w:rsidR="00EE46BE">
        <w:t>do</w:t>
      </w:r>
      <w:r w:rsidR="00146D64">
        <w:t>es</w:t>
      </w:r>
      <w:r w:rsidR="00EE46BE">
        <w:t xml:space="preserve"> not provide </w:t>
      </w:r>
      <w:r w:rsidR="00B82AF3">
        <w:t xml:space="preserve">the true magnitude, </w:t>
      </w:r>
      <w:r w:rsidR="00EE46BE">
        <w:t>doe</w:t>
      </w:r>
      <w:r w:rsidR="00146D64">
        <w:t>s</w:t>
      </w:r>
      <w:r w:rsidR="00EE46BE">
        <w:t xml:space="preserve"> not allow for comparisons between or within countries and does not allow monitoring trend, this measure is not presented any more. Most importantly the </w:t>
      </w:r>
      <w:r w:rsidR="00B82AF3">
        <w:t xml:space="preserve">relative and absolute </w:t>
      </w:r>
      <w:r w:rsidR="00EE46BE">
        <w:t xml:space="preserve">risk measures are not population weighed, they do not reflect the excess concentration of a </w:t>
      </w:r>
      <w:proofErr w:type="gramStart"/>
      <w:r w:rsidR="00EE46BE">
        <w:t>health related</w:t>
      </w:r>
      <w:proofErr w:type="gramEnd"/>
      <w:r w:rsidR="00EE46BE">
        <w:t xml:space="preserve"> outcome in a population subgroup whether they are</w:t>
      </w:r>
      <w:r w:rsidR="00B82AF3">
        <w:t xml:space="preserve"> more</w:t>
      </w:r>
      <w:r w:rsidR="00EE46BE">
        <w:t xml:space="preserve"> at risk or not</w:t>
      </w:r>
      <w:r w:rsidR="00365E7E">
        <w:t xml:space="preserve"> (WHO 2013; Shawky 2018)</w:t>
      </w:r>
      <w:r w:rsidR="00EE46BE">
        <w:t xml:space="preserve">. </w:t>
      </w:r>
      <w:r w:rsidR="0017064B">
        <w:t xml:space="preserve">It is evident that </w:t>
      </w:r>
      <w:r w:rsidR="00B82AF3">
        <w:t xml:space="preserve">the likelihood of being at risk </w:t>
      </w:r>
      <w:r w:rsidR="00157352">
        <w:t>of ill-</w:t>
      </w:r>
      <w:r w:rsidR="0017064B">
        <w:t xml:space="preserve">health </w:t>
      </w:r>
      <w:r w:rsidR="00157352">
        <w:t>as measured</w:t>
      </w:r>
      <w:r w:rsidR="00B82AF3">
        <w:t xml:space="preserve"> by the relative risk ratio </w:t>
      </w:r>
      <w:r w:rsidR="0043583B">
        <w:t xml:space="preserve">or the odds ratio </w:t>
      </w:r>
      <w:r w:rsidR="00B82AF3">
        <w:t xml:space="preserve">is not necessarily equivalent to the unequal distribution and concentration among </w:t>
      </w:r>
      <w:r w:rsidR="002524FD">
        <w:t xml:space="preserve">the vulnerable and underserved </w:t>
      </w:r>
      <w:r w:rsidR="00B82AF3">
        <w:t xml:space="preserve">population subgroups. </w:t>
      </w:r>
      <w:r w:rsidR="00157352">
        <w:t xml:space="preserve">These are two dimensions imperative to be reflected in </w:t>
      </w:r>
      <w:r w:rsidR="002524FD">
        <w:t xml:space="preserve">the </w:t>
      </w:r>
      <w:r w:rsidR="00157352">
        <w:t xml:space="preserve">HIS. </w:t>
      </w:r>
      <w:r w:rsidR="00157352" w:rsidRPr="00A84BD3">
        <w:t xml:space="preserve">In other words, comparing the various groups using the relative ratio or the difference is intended to measure the risk of being affected, not the concentration of </w:t>
      </w:r>
      <w:r w:rsidR="00157352">
        <w:t>the affected</w:t>
      </w:r>
      <w:r w:rsidR="00157352" w:rsidRPr="00A84BD3">
        <w:t xml:space="preserve"> in specific </w:t>
      </w:r>
      <w:r w:rsidR="002524FD">
        <w:t xml:space="preserve">vulnerable and underserved </w:t>
      </w:r>
      <w:r w:rsidR="00157352" w:rsidRPr="00A84BD3">
        <w:t xml:space="preserve">population subgroups. </w:t>
      </w:r>
    </w:p>
    <w:p w14:paraId="681D6192" w14:textId="77777777" w:rsidR="00DE06C3" w:rsidRDefault="00DE06C3" w:rsidP="0042419F"/>
    <w:p w14:paraId="385A867C" w14:textId="4003CC35" w:rsidR="00157352" w:rsidRDefault="00DE06C3" w:rsidP="0042419F">
      <w:r>
        <w:t xml:space="preserve">It is evident that </w:t>
      </w:r>
      <w:r w:rsidR="00157352" w:rsidRPr="00A84BD3">
        <w:t>illustrating inequalities requires</w:t>
      </w:r>
      <w:r w:rsidR="00157352">
        <w:t xml:space="preserve"> a measure</w:t>
      </w:r>
      <w:r w:rsidR="00157352" w:rsidRPr="00A84BD3">
        <w:t xml:space="preserve"> that allow</w:t>
      </w:r>
      <w:r w:rsidR="00157352">
        <w:t>s</w:t>
      </w:r>
      <w:r w:rsidR="00157352" w:rsidRPr="00A84BD3">
        <w:t xml:space="preserve"> for comparing distributions</w:t>
      </w:r>
      <w:r w:rsidR="00F6706B">
        <w:t xml:space="preserve"> rather than risk</w:t>
      </w:r>
      <w:r w:rsidR="00157352" w:rsidRPr="00A84BD3">
        <w:t xml:space="preserve">. </w:t>
      </w:r>
      <w:r w:rsidR="0042419F">
        <w:t>Till present</w:t>
      </w:r>
      <w:r w:rsidR="0042419F" w:rsidRPr="00D03AB3">
        <w:t>, there is no consensus on a standard</w:t>
      </w:r>
      <w:r w:rsidR="0042419F">
        <w:t xml:space="preserve"> inequality</w:t>
      </w:r>
      <w:r w:rsidR="0042419F" w:rsidRPr="00D03AB3">
        <w:t xml:space="preserve"> measure</w:t>
      </w:r>
      <w:r w:rsidR="0042419F">
        <w:t xml:space="preserve"> that can be engrained in HIS to measure health inequalities. In the literature there are around 13 different </w:t>
      </w:r>
      <w:r w:rsidR="0042419F">
        <w:lastRenderedPageBreak/>
        <w:t>inequality measures</w:t>
      </w:r>
      <w:r w:rsidR="0042419F" w:rsidRPr="00D03AB3">
        <w:t>,</w:t>
      </w:r>
      <w:r w:rsidR="0042419F">
        <w:t xml:space="preserve"> however, recent research has identified two measures -</w:t>
      </w:r>
      <w:r w:rsidR="00157352">
        <w:t xml:space="preserve"> relative i</w:t>
      </w:r>
      <w:r w:rsidR="00157352" w:rsidRPr="00903C7F">
        <w:t>ndex of dissimilarity expressed in percent (</w:t>
      </w:r>
      <w:proofErr w:type="spellStart"/>
      <w:r w:rsidR="00157352">
        <w:t>r</w:t>
      </w:r>
      <w:r w:rsidR="00157352" w:rsidRPr="00903C7F">
        <w:t>ID</w:t>
      </w:r>
      <w:proofErr w:type="spellEnd"/>
      <w:r w:rsidR="00157352" w:rsidRPr="00903C7F">
        <w:t>%)</w:t>
      </w:r>
      <w:r w:rsidR="00157352" w:rsidRPr="00A84BD3">
        <w:t xml:space="preserve"> </w:t>
      </w:r>
      <w:r w:rsidR="0042419F">
        <w:t>and concentration index redistribution need expressed in percent (</w:t>
      </w:r>
      <w:proofErr w:type="spellStart"/>
      <w:r w:rsidR="0042419F">
        <w:t>rCI</w:t>
      </w:r>
      <w:proofErr w:type="spellEnd"/>
      <w:r w:rsidR="0042419F">
        <w:t>%)</w:t>
      </w:r>
      <w:r w:rsidR="00F6706B">
        <w:t>,</w:t>
      </w:r>
      <w:r w:rsidR="0042419F">
        <w:t xml:space="preserve"> </w:t>
      </w:r>
      <w:r w:rsidR="00157352">
        <w:t xml:space="preserve">as </w:t>
      </w:r>
      <w:r w:rsidR="0042419F">
        <w:t>both measures produce comparable results (</w:t>
      </w:r>
      <w:proofErr w:type="spellStart"/>
      <w:r w:rsidR="00094AA0">
        <w:t>Koolman</w:t>
      </w:r>
      <w:proofErr w:type="spellEnd"/>
      <w:r w:rsidR="00094AA0">
        <w:t xml:space="preserve"> and </w:t>
      </w:r>
      <w:r w:rsidR="00094AA0" w:rsidRPr="00003B4C">
        <w:t xml:space="preserve">van </w:t>
      </w:r>
      <w:proofErr w:type="spellStart"/>
      <w:r w:rsidR="00094AA0" w:rsidRPr="00003B4C">
        <w:t>Doorslaer</w:t>
      </w:r>
      <w:proofErr w:type="spellEnd"/>
      <w:r w:rsidR="00094AA0">
        <w:t xml:space="preserve"> 2004; </w:t>
      </w:r>
      <w:proofErr w:type="spellStart"/>
      <w:r w:rsidR="00094AA0">
        <w:t>O’Donnel</w:t>
      </w:r>
      <w:proofErr w:type="spellEnd"/>
      <w:r w:rsidR="00094AA0">
        <w:t xml:space="preserve"> et al 2008; </w:t>
      </w:r>
      <w:proofErr w:type="spellStart"/>
      <w:r w:rsidR="00094AA0">
        <w:t>Pampalon</w:t>
      </w:r>
      <w:proofErr w:type="spellEnd"/>
      <w:r w:rsidR="00094AA0">
        <w:t xml:space="preserve"> et al 2009; </w:t>
      </w:r>
      <w:proofErr w:type="spellStart"/>
      <w:r w:rsidR="00094AA0">
        <w:t>Spinakis</w:t>
      </w:r>
      <w:proofErr w:type="spellEnd"/>
      <w:r w:rsidR="00094AA0">
        <w:t xml:space="preserve"> et al 2011; WHO 2013; Chee et al 2013; Shawky 2018; Rashad et al 201</w:t>
      </w:r>
      <w:r w:rsidR="009C7301">
        <w:t>9</w:t>
      </w:r>
      <w:r w:rsidR="0042419F">
        <w:t>)</w:t>
      </w:r>
      <w:r w:rsidR="00157352" w:rsidRPr="00A84BD3">
        <w:t xml:space="preserve">. </w:t>
      </w:r>
      <w:r w:rsidR="0042419F">
        <w:t>Both measures have</w:t>
      </w:r>
      <w:r w:rsidR="00157352" w:rsidRPr="00A84BD3">
        <w:t xml:space="preserve"> several advantages. </w:t>
      </w:r>
      <w:r w:rsidR="0042419F">
        <w:t>They respect</w:t>
      </w:r>
      <w:r w:rsidR="00157352" w:rsidRPr="00A84BD3">
        <w:t xml:space="preserve"> the population </w:t>
      </w:r>
      <w:proofErr w:type="gramStart"/>
      <w:r w:rsidR="00157352" w:rsidRPr="00A84BD3">
        <w:t>distribution</w:t>
      </w:r>
      <w:proofErr w:type="gramEnd"/>
      <w:r w:rsidR="00157352" w:rsidRPr="00A84BD3">
        <w:t xml:space="preserve"> and </w:t>
      </w:r>
      <w:r w:rsidR="0042419F">
        <w:t>their</w:t>
      </w:r>
      <w:r w:rsidR="00157352" w:rsidRPr="00A84BD3">
        <w:t xml:space="preserve"> values represent the deviation from inequality. </w:t>
      </w:r>
      <w:r w:rsidR="0042419F">
        <w:t>They are</w:t>
      </w:r>
      <w:r w:rsidR="00157352" w:rsidRPr="00A84BD3">
        <w:t xml:space="preserve"> self-weighted as </w:t>
      </w:r>
      <w:r w:rsidR="0042419F">
        <w:t>their</w:t>
      </w:r>
      <w:r w:rsidR="00157352" w:rsidRPr="00A84BD3">
        <w:t xml:space="preserve"> calculation is based on the population distribution and is weighed by the total observed health-related condition. </w:t>
      </w:r>
      <w:r w:rsidR="0042419F">
        <w:t>They provide</w:t>
      </w:r>
      <w:r w:rsidR="00157352" w:rsidRPr="00A84BD3">
        <w:t xml:space="preserve"> a measure of magnitude of inequality, thus help in ranking inequalities by magnitude</w:t>
      </w:r>
      <w:r w:rsidR="00157352">
        <w:t>,</w:t>
      </w:r>
      <w:r w:rsidR="00157352" w:rsidRPr="00A84BD3">
        <w:t xml:space="preserve"> identifying inequality priorities</w:t>
      </w:r>
      <w:r w:rsidR="00157352">
        <w:t xml:space="preserve"> and monitoring trend</w:t>
      </w:r>
      <w:r w:rsidR="00157352" w:rsidRPr="00A84BD3">
        <w:t>. A cut off point ≥ 10% can be used to identify the priority inequalities</w:t>
      </w:r>
      <w:r w:rsidR="0005077C">
        <w:t xml:space="preserve"> (</w:t>
      </w:r>
      <w:proofErr w:type="spellStart"/>
      <w:proofErr w:type="gramStart"/>
      <w:r w:rsidR="0005077C">
        <w:t>Koo;man</w:t>
      </w:r>
      <w:proofErr w:type="spellEnd"/>
      <w:proofErr w:type="gramEnd"/>
      <w:r w:rsidR="0005077C">
        <w:t xml:space="preserve"> 2004)</w:t>
      </w:r>
      <w:r w:rsidR="00157352" w:rsidRPr="00A84BD3">
        <w:t xml:space="preserve">. </w:t>
      </w:r>
    </w:p>
    <w:p w14:paraId="17A239B1" w14:textId="6BE426F9" w:rsidR="008563A3" w:rsidRDefault="008563A3" w:rsidP="008563A3"/>
    <w:p w14:paraId="76E567F8" w14:textId="4EF16454" w:rsidR="00777D62" w:rsidRDefault="00777D62" w:rsidP="00777D62">
      <w:r>
        <w:t xml:space="preserve">However, </w:t>
      </w:r>
      <w:proofErr w:type="spellStart"/>
      <w:r w:rsidR="0007341C">
        <w:t>till</w:t>
      </w:r>
      <w:proofErr w:type="spellEnd"/>
      <w:r w:rsidR="0007341C">
        <w:t xml:space="preserve"> present </w:t>
      </w:r>
      <w:r>
        <w:t>the</w:t>
      </w:r>
      <w:r w:rsidR="0007341C">
        <w:t xml:space="preserve"> distribution</w:t>
      </w:r>
      <w:r>
        <w:t xml:space="preserve"> inequality measures are still not part of HIS.</w:t>
      </w:r>
      <w:r w:rsidR="0007341C">
        <w:t xml:space="preserve"> All efforts are directed towards adding disaggregated data </w:t>
      </w:r>
      <w:r w:rsidR="00017F29">
        <w:t>that just illustrates the difference in likelihood and no</w:t>
      </w:r>
      <w:r w:rsidR="00412FCC">
        <w:t>t</w:t>
      </w:r>
      <w:r w:rsidR="00017F29">
        <w:t xml:space="preserve"> the difference in concentrations.</w:t>
      </w:r>
    </w:p>
    <w:p w14:paraId="067AA4A3" w14:textId="77777777" w:rsidR="00777D62" w:rsidRDefault="00777D62" w:rsidP="008563A3"/>
    <w:p w14:paraId="606E572D" w14:textId="7F348E09" w:rsidR="00331EB7" w:rsidRDefault="009969B4" w:rsidP="005C7B35">
      <w:pPr>
        <w:pStyle w:val="Heading3"/>
      </w:pPr>
      <w:bookmarkStart w:id="128" w:name="_Toc69739870"/>
      <w:r>
        <w:t>II.</w:t>
      </w:r>
      <w:r w:rsidR="001C3812">
        <w:t>3</w:t>
      </w:r>
      <w:r w:rsidR="00331EB7">
        <w:t>.5 Moving the discourse from health inequality to health equity</w:t>
      </w:r>
      <w:bookmarkEnd w:id="128"/>
    </w:p>
    <w:p w14:paraId="697312FD" w14:textId="3D1C95FA" w:rsidR="00CF6A7B" w:rsidRDefault="00B61F03" w:rsidP="001C3812">
      <w:r>
        <w:t xml:space="preserve">The major challenge is in moving </w:t>
      </w:r>
      <w:r w:rsidR="003D04F3">
        <w:t xml:space="preserve">the discourse from </w:t>
      </w:r>
      <w:r>
        <w:t>health</w:t>
      </w:r>
      <w:r w:rsidR="003D04F3">
        <w:t xml:space="preserve"> inequality to </w:t>
      </w:r>
      <w:r>
        <w:t>health</w:t>
      </w:r>
      <w:r w:rsidR="003D04F3">
        <w:t xml:space="preserve"> equity</w:t>
      </w:r>
      <w:r w:rsidR="003D04F3" w:rsidRPr="001F7A91">
        <w:t xml:space="preserve"> </w:t>
      </w:r>
      <w:r w:rsidR="003D04F3">
        <w:t xml:space="preserve">as it links the unequal distribution in health outcomes to the unfairness in the social context </w:t>
      </w:r>
      <w:r w:rsidR="002A2DA8">
        <w:t>which is the outcome</w:t>
      </w:r>
      <w:r w:rsidR="003D04F3">
        <w:t xml:space="preserve"> of the structural determinants. </w:t>
      </w:r>
      <w:r w:rsidR="003D04F3" w:rsidRPr="001F7A91">
        <w:t>Th</w:t>
      </w:r>
      <w:r w:rsidR="004F321E">
        <w:t>is is a judgmental decision but can still b</w:t>
      </w:r>
      <w:r w:rsidR="003D04F3" w:rsidRPr="001F7A91">
        <w:t xml:space="preserve">e </w:t>
      </w:r>
      <w:r w:rsidR="002A2DA8">
        <w:t>reached</w:t>
      </w:r>
      <w:r w:rsidR="004F321E">
        <w:t xml:space="preserve"> from information system</w:t>
      </w:r>
      <w:r w:rsidR="002A2DA8">
        <w:t>s</w:t>
      </w:r>
      <w:r w:rsidR="004F321E">
        <w:t xml:space="preserve"> </w:t>
      </w:r>
      <w:r w:rsidR="00FA6F89">
        <w:t>and can guide</w:t>
      </w:r>
      <w:r w:rsidR="00951C6B">
        <w:t xml:space="preserve"> further in-depth analysis on national level. On the system</w:t>
      </w:r>
      <w:r w:rsidR="002A2DA8">
        <w:t>s/program</w:t>
      </w:r>
      <w:r w:rsidR="00951C6B">
        <w:t xml:space="preserve"> level, </w:t>
      </w:r>
      <w:r w:rsidR="00FA6F89">
        <w:t>the magnitude of the health-related inequalities made available in the information system can identify the priority inequalities</w:t>
      </w:r>
      <w:r w:rsidR="002A2DA8">
        <w:t xml:space="preserve"> and underserved populations</w:t>
      </w:r>
      <w:r w:rsidR="00FA6F89">
        <w:t xml:space="preserve"> that need </w:t>
      </w:r>
      <w:r w:rsidR="00A36D0C">
        <w:t>rapid action. In addition</w:t>
      </w:r>
      <w:r w:rsidR="002A2DA8">
        <w:t>,</w:t>
      </w:r>
      <w:r w:rsidR="00A36D0C">
        <w:t xml:space="preserve"> making visible t</w:t>
      </w:r>
      <w:r w:rsidR="003161D1">
        <w:t>he inequalities in vulnerable exposure</w:t>
      </w:r>
      <w:r w:rsidR="00BC55F6">
        <w:t>s</w:t>
      </w:r>
      <w:r w:rsidR="003161D1">
        <w:t xml:space="preserve"> and in health-related outcomes</w:t>
      </w:r>
      <w:r w:rsidR="00951C6B">
        <w:t xml:space="preserve"> provide a clear clue to </w:t>
      </w:r>
      <w:r w:rsidR="002A2DA8">
        <w:t xml:space="preserve">the </w:t>
      </w:r>
      <w:r w:rsidR="00951C6B">
        <w:t xml:space="preserve">unfairness in structural </w:t>
      </w:r>
      <w:r w:rsidR="002A2DA8">
        <w:t>drivers</w:t>
      </w:r>
      <w:r w:rsidR="003161D1">
        <w:t xml:space="preserve">. </w:t>
      </w:r>
      <w:r w:rsidR="00BC55F6">
        <w:t xml:space="preserve">On national level, the </w:t>
      </w:r>
      <w:r w:rsidR="00637B7C">
        <w:t xml:space="preserve">descriptive evidence produced </w:t>
      </w:r>
      <w:r w:rsidR="006350CA">
        <w:t xml:space="preserve">in the information system can </w:t>
      </w:r>
      <w:r w:rsidR="002A2DA8">
        <w:t xml:space="preserve">identify the priority health inequalities and </w:t>
      </w:r>
      <w:r w:rsidR="006350CA">
        <w:t xml:space="preserve">trigger </w:t>
      </w:r>
      <w:r w:rsidR="00EF2150">
        <w:t>them to</w:t>
      </w:r>
      <w:r w:rsidR="006350CA">
        <w:t xml:space="preserve"> conduct </w:t>
      </w:r>
      <w:r w:rsidR="007279B2">
        <w:t xml:space="preserve">a more advanced </w:t>
      </w:r>
      <w:r w:rsidR="006350CA">
        <w:t xml:space="preserve">decomposition analysis to calculate the share of the various social determinants in the detected </w:t>
      </w:r>
      <w:r w:rsidR="007279B2">
        <w:t>health</w:t>
      </w:r>
      <w:r w:rsidR="006350CA">
        <w:t xml:space="preserve"> inequalities. The decomposition analysis allows one to estimate how the determinants proportionally contribute to the inequality in a health variable</w:t>
      </w:r>
      <w:r w:rsidR="00EF2150">
        <w:t xml:space="preserve"> thus making evident the healthcare inequalities that is the responsibility of the healthcare system and the health inequalities which require a “Whole-of-Government” and </w:t>
      </w:r>
      <w:proofErr w:type="spellStart"/>
      <w:r w:rsidR="00EF2150">
        <w:t>HiAP</w:t>
      </w:r>
      <w:proofErr w:type="spellEnd"/>
      <w:r w:rsidR="00EF2150">
        <w:t xml:space="preserve"> approach</w:t>
      </w:r>
      <w:r w:rsidR="001C3812">
        <w:t>.</w:t>
      </w:r>
    </w:p>
    <w:p w14:paraId="0CB269DF" w14:textId="77777777" w:rsidR="00411512" w:rsidRPr="001C3812" w:rsidRDefault="00411512" w:rsidP="001C3812"/>
    <w:p w14:paraId="5F74DA40" w14:textId="77777777" w:rsidR="00411512" w:rsidRDefault="00411512">
      <w:pPr>
        <w:spacing w:line="240" w:lineRule="auto"/>
        <w:rPr>
          <w:rFonts w:eastAsiaTheme="majorEastAsia"/>
          <w:b/>
          <w:bCs/>
          <w:color w:val="2F5496" w:themeColor="accent5" w:themeShade="BF"/>
          <w:sz w:val="32"/>
          <w:szCs w:val="32"/>
        </w:rPr>
      </w:pPr>
      <w:bookmarkStart w:id="129" w:name="_Toc72945501"/>
      <w:bookmarkStart w:id="130" w:name="_Toc72949617"/>
      <w:bookmarkStart w:id="131" w:name="_Toc72950112"/>
      <w:bookmarkStart w:id="132" w:name="_Toc72999769"/>
      <w:bookmarkStart w:id="133" w:name="_Toc81138432"/>
      <w:r>
        <w:br w:type="page"/>
      </w:r>
    </w:p>
    <w:p w14:paraId="20A060E6" w14:textId="165F32A4" w:rsidR="000F4965" w:rsidRDefault="00E22F28" w:rsidP="000F4965">
      <w:pPr>
        <w:pStyle w:val="Heading1"/>
      </w:pPr>
      <w:bookmarkStart w:id="134" w:name="_Toc83818777"/>
      <w:bookmarkStart w:id="135" w:name="_Toc83819389"/>
      <w:bookmarkStart w:id="136" w:name="_Toc84408414"/>
      <w:r>
        <w:lastRenderedPageBreak/>
        <w:t>Part Three:</w:t>
      </w:r>
      <w:r w:rsidR="000F4965">
        <w:t xml:space="preserve"> </w:t>
      </w:r>
      <w:bookmarkEnd w:id="129"/>
      <w:bookmarkEnd w:id="130"/>
      <w:bookmarkEnd w:id="131"/>
      <w:bookmarkEnd w:id="132"/>
      <w:bookmarkEnd w:id="133"/>
      <w:r w:rsidR="00411512">
        <w:t>Rethinking information systems for health and wellbeing</w:t>
      </w:r>
      <w:bookmarkEnd w:id="134"/>
      <w:bookmarkEnd w:id="135"/>
      <w:bookmarkEnd w:id="136"/>
    </w:p>
    <w:p w14:paraId="3F20BDD7" w14:textId="517CC770" w:rsidR="00742355" w:rsidRDefault="007A6558" w:rsidP="00742355">
      <w:r>
        <w:t xml:space="preserve">This part aims at rethinking the information system </w:t>
      </w:r>
      <w:r w:rsidR="00433976">
        <w:t xml:space="preserve">needed to guide policies and action for better health and well-being </w:t>
      </w:r>
      <w:proofErr w:type="gramStart"/>
      <w:r w:rsidR="00433976">
        <w:t>For</w:t>
      </w:r>
      <w:proofErr w:type="gramEnd"/>
      <w:r w:rsidR="00433976">
        <w:t xml:space="preserve"> ALL</w:t>
      </w:r>
      <w:r>
        <w:t xml:space="preserve">. It </w:t>
      </w:r>
      <w:r w:rsidR="00F5687C">
        <w:t>proposes a transformative change in defining the goal and role of the information system</w:t>
      </w:r>
      <w:r w:rsidR="00742355">
        <w:t>.</w:t>
      </w:r>
    </w:p>
    <w:p w14:paraId="70875E31" w14:textId="77777777" w:rsidR="007A6558" w:rsidRDefault="007A6558" w:rsidP="007A6558"/>
    <w:p w14:paraId="34171294" w14:textId="22E2E288" w:rsidR="000F4965" w:rsidRDefault="00E22F28" w:rsidP="000F4965">
      <w:pPr>
        <w:pStyle w:val="Heading2"/>
      </w:pPr>
      <w:bookmarkStart w:id="137" w:name="_Toc72945502"/>
      <w:bookmarkStart w:id="138" w:name="_Toc72949618"/>
      <w:bookmarkStart w:id="139" w:name="_Toc72950113"/>
      <w:bookmarkStart w:id="140" w:name="_Toc72999770"/>
      <w:bookmarkStart w:id="141" w:name="_Toc81138433"/>
      <w:bookmarkStart w:id="142" w:name="_Toc83818778"/>
      <w:bookmarkStart w:id="143" w:name="_Toc83819390"/>
      <w:bookmarkStart w:id="144" w:name="_Toc84408415"/>
      <w:r>
        <w:t>III</w:t>
      </w:r>
      <w:r w:rsidR="000F4965">
        <w:t>.1</w:t>
      </w:r>
      <w:r w:rsidR="008724C1">
        <w:t>.</w:t>
      </w:r>
      <w:r w:rsidR="000F4965">
        <w:t xml:space="preserve"> There is a need for a paradigm shift in thinking information systems for health</w:t>
      </w:r>
      <w:bookmarkEnd w:id="137"/>
      <w:bookmarkEnd w:id="138"/>
      <w:bookmarkEnd w:id="139"/>
      <w:bookmarkEnd w:id="140"/>
      <w:bookmarkEnd w:id="141"/>
      <w:bookmarkEnd w:id="142"/>
      <w:bookmarkEnd w:id="143"/>
      <w:bookmarkEnd w:id="144"/>
    </w:p>
    <w:p w14:paraId="27F25082" w14:textId="7CCB8DFD" w:rsidR="005D1605" w:rsidRDefault="005D1605" w:rsidP="005D1605">
      <w:r>
        <w:t>All efforts to date with respect to HIS are highly acknowledged, yet they face the multiple complexity of such systems which cannot be done in a one-step approach to satisfy users</w:t>
      </w:r>
      <w:r w:rsidR="00C507A7">
        <w:t>’</w:t>
      </w:r>
      <w:r>
        <w:t xml:space="preserve"> needs. </w:t>
      </w:r>
      <w:r w:rsidR="00833142">
        <w:t>Despite the progress in the current HIS, such system</w:t>
      </w:r>
      <w:r w:rsidR="00BA2B02">
        <w:t>s</w:t>
      </w:r>
      <w:r w:rsidR="00833142">
        <w:t xml:space="preserve"> remain silent when it comes to provide evidence on SDH and interlinkages to health</w:t>
      </w:r>
      <w:r w:rsidR="00411512">
        <w:t xml:space="preserve"> inequalities</w:t>
      </w:r>
      <w:r w:rsidR="00833142">
        <w:t xml:space="preserve">. </w:t>
      </w:r>
      <w:r>
        <w:t xml:space="preserve">The efforts are directed to serve the needs of the </w:t>
      </w:r>
      <w:r w:rsidR="009A21AB">
        <w:t>health sector</w:t>
      </w:r>
      <w:r>
        <w:t xml:space="preserve"> with a disease and behavior practice </w:t>
      </w:r>
      <w:r w:rsidR="00CD270F">
        <w:t>orientation</w:t>
      </w:r>
      <w:r>
        <w:t xml:space="preserve">. They mostly focus on improving technology to computerize and link information in a platform or on compiling the available information whether on national or international levels in an observatory. They go further to improving visualization of data in dashboards or interactive programs. All partners are aware of the major data challenges, they all claim the unavailability of data and the inability to measure inequalities, identify the vulnerable populations or to show the interlinkages </w:t>
      </w:r>
      <w:r w:rsidR="00CD270F">
        <w:t>between</w:t>
      </w:r>
      <w:r>
        <w:t xml:space="preserve"> the multilevel social determinants and health.</w:t>
      </w:r>
    </w:p>
    <w:p w14:paraId="02C5A831" w14:textId="79A28BBB" w:rsidR="005D1605" w:rsidRDefault="005D1605" w:rsidP="009D15A9"/>
    <w:p w14:paraId="6BD78EA6" w14:textId="267C2630" w:rsidR="005143C4" w:rsidRDefault="005143C4" w:rsidP="00411512">
      <w:pPr>
        <w:pStyle w:val="Heading2"/>
      </w:pPr>
      <w:bookmarkStart w:id="145" w:name="_Toc83818779"/>
      <w:bookmarkStart w:id="146" w:name="_Toc83819391"/>
      <w:bookmarkStart w:id="147" w:name="_Toc84408416"/>
      <w:r>
        <w:t>III.</w:t>
      </w:r>
      <w:r w:rsidR="00411512">
        <w:t xml:space="preserve">2 </w:t>
      </w:r>
      <w:r>
        <w:t>Redefining the goal and role of the information system for health</w:t>
      </w:r>
      <w:bookmarkEnd w:id="145"/>
      <w:bookmarkEnd w:id="146"/>
      <w:bookmarkEnd w:id="147"/>
    </w:p>
    <w:p w14:paraId="7FD12F73" w14:textId="31A4913A" w:rsidR="00CD270F" w:rsidRDefault="008D0CD3" w:rsidP="00CD270F">
      <w:r>
        <w:t xml:space="preserve">It is clear from the </w:t>
      </w:r>
      <w:r w:rsidR="005D1605">
        <w:t>previous sections</w:t>
      </w:r>
      <w:r>
        <w:t xml:space="preserve"> that health in the new global era is no more the business of the </w:t>
      </w:r>
      <w:r w:rsidR="009A21AB">
        <w:t>health sector</w:t>
      </w:r>
      <w:r>
        <w:t xml:space="preserve"> </w:t>
      </w:r>
      <w:r w:rsidR="00956C7A">
        <w:t xml:space="preserve">alone. It is a shared responsibility of the government and society. To address ill-health there is a need for </w:t>
      </w:r>
      <w:r w:rsidR="00CD270F">
        <w:t>full-fledged</w:t>
      </w:r>
      <w:r w:rsidR="00956C7A">
        <w:t xml:space="preserve"> evidence to guide the national policies and programs and measure the national success. Such evidence cannot pertain anymore to HIS goal “</w:t>
      </w:r>
      <w:r w:rsidR="00956C7A" w:rsidRPr="00EF6E8F">
        <w:rPr>
          <w:b/>
          <w:bCs/>
        </w:rPr>
        <w:t>the production of quality data that health system stakeholders can use for making transparent and evidence</w:t>
      </w:r>
      <w:r w:rsidR="00E404AA">
        <w:rPr>
          <w:b/>
          <w:bCs/>
        </w:rPr>
        <w:t>-</w:t>
      </w:r>
      <w:r w:rsidR="00956C7A" w:rsidRPr="00EF6E8F">
        <w:rPr>
          <w:b/>
          <w:bCs/>
        </w:rPr>
        <w:t>based health system interventions</w:t>
      </w:r>
      <w:r w:rsidR="00956C7A">
        <w:t xml:space="preserve">”. This goal clearly misses </w:t>
      </w:r>
      <w:r w:rsidR="00CD270F">
        <w:t xml:space="preserve">two </w:t>
      </w:r>
      <w:r w:rsidR="00207212">
        <w:t>key bottle necks</w:t>
      </w:r>
      <w:r w:rsidR="00CD270F">
        <w:t xml:space="preserve">. First, it does not take in account </w:t>
      </w:r>
      <w:r w:rsidR="00956C7A">
        <w:t xml:space="preserve">the stewardship role of the health systems and national responsibility to improve health and </w:t>
      </w:r>
      <w:proofErr w:type="spellStart"/>
      <w:r w:rsidR="00956C7A">
        <w:t>well being</w:t>
      </w:r>
      <w:proofErr w:type="spellEnd"/>
      <w:r w:rsidR="00956C7A">
        <w:t xml:space="preserve"> for all citizens. </w:t>
      </w:r>
      <w:r w:rsidR="00BA2B02">
        <w:t>Progress in population health cannot depend on a single sector and requires scientific understanding of the role of the multilevel SDH (</w:t>
      </w:r>
      <w:r w:rsidR="00E404AA">
        <w:t>Galea 2020</w:t>
      </w:r>
      <w:r w:rsidR="00BA2B02">
        <w:t xml:space="preserve">). Actions to improve health and promote health equity </w:t>
      </w:r>
      <w:r w:rsidR="00E404AA">
        <w:t xml:space="preserve">mostly </w:t>
      </w:r>
      <w:r w:rsidR="00BA2B02">
        <w:t xml:space="preserve">fall outside the health sector. </w:t>
      </w:r>
      <w:r w:rsidR="00833142">
        <w:t>To move forward there is a</w:t>
      </w:r>
      <w:r w:rsidR="00CD270F">
        <w:t xml:space="preserve"> need</w:t>
      </w:r>
      <w:r w:rsidR="00833142">
        <w:t xml:space="preserve"> for</w:t>
      </w:r>
      <w:r w:rsidR="00CD270F">
        <w:t xml:space="preserve"> reconsidering the goal of the information </w:t>
      </w:r>
      <w:r w:rsidR="00CD270F">
        <w:lastRenderedPageBreak/>
        <w:t xml:space="preserve">system and moving </w:t>
      </w:r>
      <w:r w:rsidR="00C507A7">
        <w:t xml:space="preserve">the discourse </w:t>
      </w:r>
      <w:r w:rsidR="00CD270F">
        <w:t>from “health information system</w:t>
      </w:r>
      <w:r w:rsidR="00833142">
        <w:t xml:space="preserve"> (HIS)”</w:t>
      </w:r>
      <w:r w:rsidR="00CD270F">
        <w:t xml:space="preserve"> to “information system </w:t>
      </w:r>
      <w:r w:rsidR="00C507A7">
        <w:t xml:space="preserve">for </w:t>
      </w:r>
      <w:r w:rsidR="00CD270F">
        <w:t>health</w:t>
      </w:r>
      <w:r w:rsidR="00833142">
        <w:t xml:space="preserve"> (ISH)</w:t>
      </w:r>
      <w:r w:rsidR="00CD270F">
        <w:t>” with a more comprehensive goal as below:</w:t>
      </w:r>
    </w:p>
    <w:p w14:paraId="200188AD" w14:textId="666E73F9" w:rsidR="00CD270F" w:rsidRDefault="00CD270F" w:rsidP="00CD270F">
      <w:pPr>
        <w:rPr>
          <w:b/>
          <w:bCs/>
        </w:rPr>
      </w:pPr>
    </w:p>
    <w:p w14:paraId="366409A6" w14:textId="77777777" w:rsidR="0042737E" w:rsidRDefault="0042737E" w:rsidP="00CD270F">
      <w:pPr>
        <w:rPr>
          <w:b/>
          <w:bCs/>
        </w:rPr>
      </w:pPr>
    </w:p>
    <w:p w14:paraId="4FAF9009" w14:textId="381A30DB" w:rsidR="00CD270F" w:rsidRDefault="0042737E" w:rsidP="0042737E">
      <w:pPr>
        <w:jc w:val="center"/>
      </w:pPr>
      <w:r w:rsidRPr="0042737E">
        <w:rPr>
          <w:noProof/>
        </w:rPr>
        <w:drawing>
          <wp:inline distT="0" distB="0" distL="0" distR="0" wp14:anchorId="5FD110C2" wp14:editId="7E9D2071">
            <wp:extent cx="5943600" cy="857250"/>
            <wp:effectExtent l="0" t="0" r="0" b="0"/>
            <wp:docPr id="5" name="Picture 4">
              <a:extLst xmlns:a="http://schemas.openxmlformats.org/drawingml/2006/main">
                <a:ext uri="{FF2B5EF4-FFF2-40B4-BE49-F238E27FC236}">
                  <a16:creationId xmlns:a16="http://schemas.microsoft.com/office/drawing/2014/main" id="{B9ED513A-FC58-4DED-AFB4-3982012B3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9ED513A-FC58-4DED-AFB4-3982012B3E2C}"/>
                        </a:ext>
                      </a:extLst>
                    </pic:cNvPr>
                    <pic:cNvPicPr>
                      <a:picLocks noChangeAspect="1"/>
                    </pic:cNvPicPr>
                  </pic:nvPicPr>
                  <pic:blipFill>
                    <a:blip r:embed="rId16"/>
                    <a:stretch>
                      <a:fillRect/>
                    </a:stretch>
                  </pic:blipFill>
                  <pic:spPr>
                    <a:xfrm>
                      <a:off x="0" y="0"/>
                      <a:ext cx="5943600" cy="857250"/>
                    </a:xfrm>
                    <a:prstGeom prst="rect">
                      <a:avLst/>
                    </a:prstGeom>
                  </pic:spPr>
                </pic:pic>
              </a:graphicData>
            </a:graphic>
          </wp:inline>
        </w:drawing>
      </w:r>
    </w:p>
    <w:p w14:paraId="017451B0" w14:textId="77777777" w:rsidR="0042737E" w:rsidRDefault="0042737E" w:rsidP="009D15A9"/>
    <w:p w14:paraId="39E28B94" w14:textId="5BFC8482" w:rsidR="000F4965" w:rsidRDefault="00CD270F" w:rsidP="009D15A9">
      <w:r>
        <w:t xml:space="preserve">Second, it </w:t>
      </w:r>
      <w:r w:rsidR="00956C7A">
        <w:t xml:space="preserve">also ignores that for measuring health, it is imperative to consider the two dimensions of health which are </w:t>
      </w:r>
      <w:r>
        <w:t xml:space="preserve">1) </w:t>
      </w:r>
      <w:r w:rsidR="00956C7A">
        <w:t xml:space="preserve">the likelihood of being more at risk </w:t>
      </w:r>
      <w:r w:rsidR="001C52B3">
        <w:t>of an ill-health condition</w:t>
      </w:r>
      <w:r>
        <w:t>;</w:t>
      </w:r>
      <w:r w:rsidR="001C52B3">
        <w:t xml:space="preserve"> and </w:t>
      </w:r>
      <w:r>
        <w:t xml:space="preserve">2) </w:t>
      </w:r>
      <w:r w:rsidR="001C52B3">
        <w:t xml:space="preserve">the concentration of ill-health in certain population </w:t>
      </w:r>
      <w:r>
        <w:t xml:space="preserve">social </w:t>
      </w:r>
      <w:r w:rsidR="001C52B3">
        <w:t>groups whether they are at risk or underserved or both. Such vision requires a more critical thinking when efforts come to reform or strengthen the health systems</w:t>
      </w:r>
      <w:r w:rsidR="00C507A7">
        <w:t xml:space="preserve"> to redefine its role</w:t>
      </w:r>
      <w:r w:rsidR="00BA2B02">
        <w:t xml:space="preserve"> as below</w:t>
      </w:r>
      <w:r w:rsidR="001C52B3">
        <w:t>.</w:t>
      </w:r>
      <w:r w:rsidR="00BA2B02">
        <w:t xml:space="preserve"> </w:t>
      </w:r>
    </w:p>
    <w:p w14:paraId="75261C64" w14:textId="36D303B7" w:rsidR="00CD270F" w:rsidRDefault="00CD270F" w:rsidP="00CD270F">
      <w:pPr>
        <w:rPr>
          <w:b/>
          <w:bCs/>
        </w:rPr>
      </w:pPr>
    </w:p>
    <w:p w14:paraId="58425839" w14:textId="77777777" w:rsidR="0042737E" w:rsidRDefault="0042737E" w:rsidP="00CD270F">
      <w:pPr>
        <w:rPr>
          <w:b/>
          <w:bCs/>
        </w:rPr>
      </w:pPr>
    </w:p>
    <w:p w14:paraId="2F494F8D" w14:textId="3D229D40" w:rsidR="0042737E" w:rsidRDefault="003D2C4F" w:rsidP="003D2C4F">
      <w:pPr>
        <w:jc w:val="center"/>
        <w:rPr>
          <w:b/>
          <w:bCs/>
        </w:rPr>
      </w:pPr>
      <w:r w:rsidRPr="003D2C4F">
        <w:rPr>
          <w:b/>
          <w:bCs/>
          <w:noProof/>
        </w:rPr>
        <w:drawing>
          <wp:inline distT="0" distB="0" distL="0" distR="0" wp14:anchorId="73F76568" wp14:editId="325278CE">
            <wp:extent cx="5943600" cy="1098550"/>
            <wp:effectExtent l="0" t="0" r="0" b="6350"/>
            <wp:docPr id="11" name="Picture 4" descr="Shape&#10;&#10;Description automatically generated with medium confidence">
              <a:extLst xmlns:a="http://schemas.openxmlformats.org/drawingml/2006/main">
                <a:ext uri="{FF2B5EF4-FFF2-40B4-BE49-F238E27FC236}">
                  <a16:creationId xmlns:a16="http://schemas.microsoft.com/office/drawing/2014/main" id="{7754D0BF-7337-4ABA-BABF-43ABA3C25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Shape&#10;&#10;Description automatically generated with medium confidence">
                      <a:extLst>
                        <a:ext uri="{FF2B5EF4-FFF2-40B4-BE49-F238E27FC236}">
                          <a16:creationId xmlns:a16="http://schemas.microsoft.com/office/drawing/2014/main" id="{7754D0BF-7337-4ABA-BABF-43ABA3C25886}"/>
                        </a:ext>
                      </a:extLst>
                    </pic:cNvPr>
                    <pic:cNvPicPr>
                      <a:picLocks noChangeAspect="1"/>
                    </pic:cNvPicPr>
                  </pic:nvPicPr>
                  <pic:blipFill>
                    <a:blip r:embed="rId17"/>
                    <a:stretch>
                      <a:fillRect/>
                    </a:stretch>
                  </pic:blipFill>
                  <pic:spPr>
                    <a:xfrm>
                      <a:off x="0" y="0"/>
                      <a:ext cx="5943600" cy="1098550"/>
                    </a:xfrm>
                    <a:prstGeom prst="rect">
                      <a:avLst/>
                    </a:prstGeom>
                  </pic:spPr>
                </pic:pic>
              </a:graphicData>
            </a:graphic>
          </wp:inline>
        </w:drawing>
      </w:r>
    </w:p>
    <w:p w14:paraId="36F3104A" w14:textId="447E104A" w:rsidR="008D0CD3" w:rsidRDefault="008D0CD3" w:rsidP="009D15A9"/>
    <w:p w14:paraId="3343BEED" w14:textId="77777777" w:rsidR="00E65837" w:rsidRDefault="00E65837" w:rsidP="009D15A9"/>
    <w:p w14:paraId="345E52E5" w14:textId="507B1566" w:rsidR="004547AD" w:rsidRDefault="004547AD" w:rsidP="004547AD">
      <w:pPr>
        <w:pStyle w:val="Heading2"/>
      </w:pPr>
      <w:bookmarkStart w:id="148" w:name="_Toc72945503"/>
      <w:bookmarkStart w:id="149" w:name="_Toc72949619"/>
      <w:bookmarkStart w:id="150" w:name="_Toc72950114"/>
      <w:bookmarkStart w:id="151" w:name="_Toc72999771"/>
      <w:bookmarkStart w:id="152" w:name="_Toc83819392"/>
      <w:bookmarkStart w:id="153" w:name="_Toc84408417"/>
      <w:r>
        <w:t>III.3. The need for guiding principles to build fair information systems for health</w:t>
      </w:r>
      <w:bookmarkEnd w:id="148"/>
      <w:bookmarkEnd w:id="149"/>
      <w:bookmarkEnd w:id="150"/>
      <w:bookmarkEnd w:id="151"/>
      <w:bookmarkEnd w:id="152"/>
      <w:bookmarkEnd w:id="153"/>
    </w:p>
    <w:p w14:paraId="219EDC15" w14:textId="77777777" w:rsidR="004547AD" w:rsidRDefault="004547AD" w:rsidP="004547AD">
      <w:bookmarkStart w:id="154" w:name="_Hlk83819194"/>
      <w:r>
        <w:t>The time provides windows and opportunities to contribute to the ongoing discourse on building context specific ISH and be equipped with right data on health and its determinants. This work aims in future phases on building data that can inform policies and programs. At the core, this work builds on framing the data to meet the policy change needs</w:t>
      </w:r>
      <w:bookmarkEnd w:id="154"/>
      <w:r>
        <w:t>. It is founded on the below values and principles to determine production and use of data for better health “Leaving No One Behind”:</w:t>
      </w:r>
    </w:p>
    <w:p w14:paraId="40619C13" w14:textId="7D2A34F8" w:rsidR="004547AD" w:rsidRDefault="004547AD" w:rsidP="004547AD"/>
    <w:p w14:paraId="6E430AD4" w14:textId="32C018DB" w:rsidR="00F31969" w:rsidRDefault="00E65837" w:rsidP="00E65837">
      <w:r w:rsidRPr="00E65837">
        <w:rPr>
          <w:noProof/>
        </w:rPr>
        <w:lastRenderedPageBreak/>
        <w:drawing>
          <wp:inline distT="0" distB="0" distL="0" distR="0" wp14:anchorId="0E865311" wp14:editId="64081289">
            <wp:extent cx="5943600" cy="2494915"/>
            <wp:effectExtent l="0" t="0" r="0" b="635"/>
            <wp:docPr id="2" name="Picture 1" descr="Shape&#10;&#10;Description automatically generated">
              <a:extLst xmlns:a="http://schemas.openxmlformats.org/drawingml/2006/main">
                <a:ext uri="{FF2B5EF4-FFF2-40B4-BE49-F238E27FC236}">
                  <a16:creationId xmlns:a16="http://schemas.microsoft.com/office/drawing/2014/main" id="{B3177BA7-A8D3-4F02-989C-40F713496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pe&#10;&#10;Description automatically generated">
                      <a:extLst>
                        <a:ext uri="{FF2B5EF4-FFF2-40B4-BE49-F238E27FC236}">
                          <a16:creationId xmlns:a16="http://schemas.microsoft.com/office/drawing/2014/main" id="{B3177BA7-A8D3-4F02-989C-40F713496158}"/>
                        </a:ext>
                      </a:extLst>
                    </pic:cNvPr>
                    <pic:cNvPicPr>
                      <a:picLocks noChangeAspect="1"/>
                    </pic:cNvPicPr>
                  </pic:nvPicPr>
                  <pic:blipFill>
                    <a:blip r:embed="rId18"/>
                    <a:stretch>
                      <a:fillRect/>
                    </a:stretch>
                  </pic:blipFill>
                  <pic:spPr>
                    <a:xfrm>
                      <a:off x="0" y="0"/>
                      <a:ext cx="5943600" cy="2494915"/>
                    </a:xfrm>
                    <a:prstGeom prst="rect">
                      <a:avLst/>
                    </a:prstGeom>
                  </pic:spPr>
                </pic:pic>
              </a:graphicData>
            </a:graphic>
          </wp:inline>
        </w:drawing>
      </w:r>
    </w:p>
    <w:p w14:paraId="0486E136" w14:textId="77777777" w:rsidR="0042737E" w:rsidRDefault="0042737E" w:rsidP="004547AD"/>
    <w:p w14:paraId="7BAD4EDA" w14:textId="2AF94659" w:rsidR="004547AD" w:rsidRDefault="004547AD" w:rsidP="004547AD">
      <w:pPr>
        <w:pStyle w:val="Heading2"/>
      </w:pPr>
      <w:bookmarkStart w:id="155" w:name="_Toc72945504"/>
      <w:bookmarkStart w:id="156" w:name="_Toc72949620"/>
      <w:bookmarkStart w:id="157" w:name="_Toc72950115"/>
      <w:bookmarkStart w:id="158" w:name="_Toc72999772"/>
      <w:bookmarkStart w:id="159" w:name="_Toc83819393"/>
      <w:bookmarkStart w:id="160" w:name="_Toc84408418"/>
      <w:r>
        <w:t xml:space="preserve">III.4. Building the needed national and program level </w:t>
      </w:r>
      <w:r w:rsidR="004F0DE9">
        <w:t>measures</w:t>
      </w:r>
      <w:r>
        <w:t xml:space="preserve"> is the first step on the road</w:t>
      </w:r>
      <w:bookmarkEnd w:id="155"/>
      <w:bookmarkEnd w:id="156"/>
      <w:bookmarkEnd w:id="157"/>
      <w:bookmarkEnd w:id="158"/>
      <w:bookmarkEnd w:id="159"/>
      <w:bookmarkEnd w:id="160"/>
    </w:p>
    <w:p w14:paraId="42B70C1D" w14:textId="77777777" w:rsidR="004547AD" w:rsidRDefault="004547AD" w:rsidP="004547AD">
      <w:bookmarkStart w:id="161" w:name="_Hlk83819235"/>
      <w:r>
        <w:t xml:space="preserve">The information system is very complex multicomponent system. A key initial element is to determine what data should be collected and for what purpose. This is the focus of the future phases which can either complement the current HIS efforts or ingrain the first brick for new ways of building ISH. The understanding that environment in which people live influence health suggests that better measures are needed to guide opportunities for fair policies and interventions. Improving people’s health requires more than individual behavior changes but rather changes to social and economic environment in which people live. </w:t>
      </w:r>
      <w:r w:rsidRPr="00CD11DB">
        <w:t xml:space="preserve">The COVID-19 pandemic, marked by economic recession in many countries, exacerbation of unequal health determinants and social conditions, and unequal health outcomes, serves as a reminder to </w:t>
      </w:r>
      <w:r>
        <w:t>the need for comprehensive</w:t>
      </w:r>
      <w:r w:rsidRPr="00CD11DB">
        <w:t xml:space="preserve"> data in predicting and monitoring health outcomes, and embedding these insights in real-time decision-</w:t>
      </w:r>
      <w:r w:rsidRPr="00D41604">
        <w:t>making (</w:t>
      </w:r>
      <w:proofErr w:type="spellStart"/>
      <w:r w:rsidRPr="00D41604">
        <w:rPr>
          <w:rFonts w:asciiTheme="minorBidi" w:hAnsiTheme="minorBidi" w:cstheme="minorBidi"/>
        </w:rPr>
        <w:t>Maani</w:t>
      </w:r>
      <w:proofErr w:type="spellEnd"/>
      <w:r w:rsidRPr="00D41604">
        <w:rPr>
          <w:rFonts w:asciiTheme="minorBidi" w:hAnsiTheme="minorBidi" w:cstheme="minorBidi"/>
        </w:rPr>
        <w:t xml:space="preserve"> et al 2021</w:t>
      </w:r>
      <w:r w:rsidRPr="00D41604">
        <w:t>).</w:t>
      </w:r>
      <w:r>
        <w:t xml:space="preserve"> </w:t>
      </w:r>
    </w:p>
    <w:bookmarkEnd w:id="161"/>
    <w:p w14:paraId="03588563" w14:textId="77777777" w:rsidR="004547AD" w:rsidRDefault="004547AD" w:rsidP="004547AD"/>
    <w:p w14:paraId="7601DA10" w14:textId="45FB67C1" w:rsidR="004547AD" w:rsidRDefault="004547AD" w:rsidP="004547AD">
      <w:r>
        <w:t xml:space="preserve">Being aware of the data needs, a core set of well-defined national and program indicators </w:t>
      </w:r>
      <w:r w:rsidR="008773A3">
        <w:t>and inequality measures are</w:t>
      </w:r>
      <w:r>
        <w:t xml:space="preserve"> the base for building a potent ISH that serves the government policies and program success. While the SDH represent a potential agenda for health and improving policies and actions, they pose a challenge in terms of choosing the right indicators</w:t>
      </w:r>
      <w:r w:rsidR="008773A3">
        <w:t xml:space="preserve"> and inequality </w:t>
      </w:r>
      <w:r>
        <w:t xml:space="preserve">measures. Allocating sufficient time and money to collect all the relevant data on all possible options would not be practical or justified in all countries or programs. There is a need for a sincere effort to build a standard </w:t>
      </w:r>
      <w:r w:rsidR="008773A3">
        <w:t>core basket</w:t>
      </w:r>
      <w:r>
        <w:t xml:space="preserve"> of indicators and </w:t>
      </w:r>
      <w:r w:rsidR="008773A3">
        <w:t xml:space="preserve">inequality </w:t>
      </w:r>
      <w:r>
        <w:t xml:space="preserve">measures with space for further context specific additions whenever deemed necessary. The idea of the standard core </w:t>
      </w:r>
      <w:r w:rsidR="008773A3">
        <w:t xml:space="preserve">basket </w:t>
      </w:r>
      <w:r>
        <w:t xml:space="preserve">is </w:t>
      </w:r>
      <w:r>
        <w:lastRenderedPageBreak/>
        <w:t xml:space="preserve">to build a common language for comparison </w:t>
      </w:r>
      <w:r w:rsidR="008773A3">
        <w:t>among and within</w:t>
      </w:r>
      <w:r>
        <w:t xml:space="preserve"> countries</w:t>
      </w:r>
      <w:r w:rsidR="008773A3">
        <w:t>, as well as</w:t>
      </w:r>
      <w:r>
        <w:t xml:space="preserve"> monitoring progress overtime. The reason for having two lists of indicators - a national level and program level – is to monitor the overall national success</w:t>
      </w:r>
      <w:r w:rsidR="008A2A1E">
        <w:t>,</w:t>
      </w:r>
      <w:r>
        <w:t xml:space="preserve"> as well as the program responsiveness to people’s needs. </w:t>
      </w:r>
    </w:p>
    <w:p w14:paraId="4017935F" w14:textId="77777777" w:rsidR="004547AD" w:rsidRDefault="004547AD" w:rsidP="004547AD"/>
    <w:p w14:paraId="1993307A" w14:textId="51F0EA01" w:rsidR="000F4965" w:rsidRDefault="000F4965" w:rsidP="009D15A9"/>
    <w:p w14:paraId="224E1B01" w14:textId="77F399BA" w:rsidR="00840762" w:rsidRDefault="00840762">
      <w:pPr>
        <w:spacing w:line="240" w:lineRule="auto"/>
      </w:pPr>
      <w:r>
        <w:br w:type="page"/>
      </w:r>
    </w:p>
    <w:p w14:paraId="0BBB1B11" w14:textId="2BBAAD0A" w:rsidR="008344A7" w:rsidRDefault="008344A7" w:rsidP="00A35DF1">
      <w:pPr>
        <w:pStyle w:val="Heading1"/>
      </w:pPr>
      <w:bookmarkStart w:id="162" w:name="_Toc83818780"/>
      <w:bookmarkStart w:id="163" w:name="_Toc83819394"/>
      <w:bookmarkStart w:id="164" w:name="_Toc84408419"/>
      <w:bookmarkStart w:id="165" w:name="_Toc72949621"/>
      <w:bookmarkStart w:id="166" w:name="_Toc72950116"/>
      <w:bookmarkStart w:id="167" w:name="_Toc72999773"/>
      <w:bookmarkStart w:id="168" w:name="_Toc81138438"/>
      <w:r w:rsidRPr="00964192">
        <w:lastRenderedPageBreak/>
        <w:t>References</w:t>
      </w:r>
      <w:bookmarkEnd w:id="162"/>
      <w:bookmarkEnd w:id="163"/>
      <w:bookmarkEnd w:id="164"/>
      <w:r w:rsidR="004B7EF7">
        <w:t xml:space="preserve"> </w:t>
      </w:r>
      <w:bookmarkEnd w:id="165"/>
      <w:bookmarkEnd w:id="166"/>
      <w:bookmarkEnd w:id="167"/>
      <w:bookmarkEnd w:id="168"/>
    </w:p>
    <w:p w14:paraId="7901DC9C"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Acheson D, Great Britain, eds. </w:t>
      </w:r>
      <w:r w:rsidRPr="00C864C5">
        <w:rPr>
          <w:rFonts w:asciiTheme="minorBidi" w:hAnsiTheme="minorBidi" w:cstheme="minorBidi"/>
          <w:i/>
          <w:iCs/>
        </w:rPr>
        <w:t>Independent Inquiry into Inequalities in Health: Report</w:t>
      </w:r>
      <w:r w:rsidRPr="00C864C5">
        <w:rPr>
          <w:rFonts w:asciiTheme="minorBidi" w:hAnsiTheme="minorBidi" w:cstheme="minorBidi"/>
        </w:rPr>
        <w:t>. Stationery Office; 1998.</w:t>
      </w:r>
    </w:p>
    <w:p w14:paraId="57794681" w14:textId="0266E47D" w:rsidR="0043339D" w:rsidRDefault="0043339D" w:rsidP="004B7EF7">
      <w:pPr>
        <w:ind w:left="540" w:hanging="540"/>
        <w:rPr>
          <w:rFonts w:asciiTheme="minorBidi" w:hAnsiTheme="minorBidi" w:cstheme="minorBidi"/>
        </w:rPr>
      </w:pPr>
      <w:r w:rsidRPr="00C864C5">
        <w:rPr>
          <w:rFonts w:asciiTheme="minorBidi" w:hAnsiTheme="minorBidi" w:cstheme="minorBidi"/>
        </w:rPr>
        <w:t xml:space="preserve">Allen N, </w:t>
      </w:r>
      <w:proofErr w:type="spellStart"/>
      <w:r w:rsidRPr="00C864C5">
        <w:rPr>
          <w:rFonts w:asciiTheme="minorBidi" w:hAnsiTheme="minorBidi" w:cstheme="minorBidi"/>
        </w:rPr>
        <w:t>Sudlow</w:t>
      </w:r>
      <w:proofErr w:type="spellEnd"/>
      <w:r w:rsidRPr="00C864C5">
        <w:rPr>
          <w:rFonts w:asciiTheme="minorBidi" w:hAnsiTheme="minorBidi" w:cstheme="minorBidi"/>
        </w:rPr>
        <w:t xml:space="preserve"> C, Downey P, </w:t>
      </w:r>
      <w:proofErr w:type="spellStart"/>
      <w:r w:rsidRPr="00C864C5">
        <w:rPr>
          <w:rFonts w:asciiTheme="minorBidi" w:hAnsiTheme="minorBidi" w:cstheme="minorBidi"/>
        </w:rPr>
        <w:t>Peakman</w:t>
      </w:r>
      <w:proofErr w:type="spellEnd"/>
      <w:r w:rsidRPr="00C864C5">
        <w:rPr>
          <w:rFonts w:asciiTheme="minorBidi" w:hAnsiTheme="minorBidi" w:cstheme="minorBidi"/>
        </w:rPr>
        <w:t xml:space="preserve"> T, </w:t>
      </w:r>
      <w:proofErr w:type="spellStart"/>
      <w:r w:rsidRPr="00C864C5">
        <w:rPr>
          <w:rFonts w:asciiTheme="minorBidi" w:hAnsiTheme="minorBidi" w:cstheme="minorBidi"/>
        </w:rPr>
        <w:t>Danesh</w:t>
      </w:r>
      <w:proofErr w:type="spellEnd"/>
      <w:r w:rsidRPr="00C864C5">
        <w:rPr>
          <w:rFonts w:asciiTheme="minorBidi" w:hAnsiTheme="minorBidi" w:cstheme="minorBidi"/>
        </w:rPr>
        <w:t xml:space="preserve"> J, Elliott P, et al. UK Biobank: </w:t>
      </w:r>
      <w:proofErr w:type="gramStart"/>
      <w:r w:rsidRPr="00C864C5">
        <w:rPr>
          <w:rFonts w:asciiTheme="minorBidi" w:hAnsiTheme="minorBidi" w:cstheme="minorBidi"/>
        </w:rPr>
        <w:t>Current status</w:t>
      </w:r>
      <w:proofErr w:type="gramEnd"/>
      <w:r w:rsidRPr="00C864C5">
        <w:rPr>
          <w:rFonts w:asciiTheme="minorBidi" w:hAnsiTheme="minorBidi" w:cstheme="minorBidi"/>
        </w:rPr>
        <w:t xml:space="preserve"> and what it means for epidemiology. Health Policy Technol [Internet]. 2012 Sep 1 [cited 2020 Dec 16];1(3):123–6. Available at http://www.sciencedirect.com/science/article/pii/S2211883712000597.</w:t>
      </w:r>
    </w:p>
    <w:p w14:paraId="40584330" w14:textId="5F2E64B5" w:rsidR="009B03E4" w:rsidRPr="00C864C5" w:rsidRDefault="009B03E4" w:rsidP="004B7EF7">
      <w:pPr>
        <w:ind w:left="540" w:hanging="540"/>
        <w:rPr>
          <w:rFonts w:asciiTheme="minorBidi" w:hAnsiTheme="minorBidi" w:cstheme="minorBidi"/>
        </w:rPr>
      </w:pPr>
      <w:r w:rsidRPr="009B03E4">
        <w:rPr>
          <w:rFonts w:asciiTheme="minorBidi" w:hAnsiTheme="minorBidi" w:cstheme="minorBidi"/>
        </w:rPr>
        <w:t xml:space="preserve">Ansari Z, Carson NJ, </w:t>
      </w:r>
      <w:proofErr w:type="spellStart"/>
      <w:r w:rsidRPr="009B03E4">
        <w:rPr>
          <w:rFonts w:asciiTheme="minorBidi" w:hAnsiTheme="minorBidi" w:cstheme="minorBidi"/>
        </w:rPr>
        <w:t>Ackland</w:t>
      </w:r>
      <w:proofErr w:type="spellEnd"/>
      <w:r w:rsidRPr="009B03E4">
        <w:rPr>
          <w:rFonts w:asciiTheme="minorBidi" w:hAnsiTheme="minorBidi" w:cstheme="minorBidi"/>
        </w:rPr>
        <w:t xml:space="preserve"> MJ, Vaughan L, </w:t>
      </w:r>
      <w:proofErr w:type="spellStart"/>
      <w:r w:rsidRPr="009B03E4">
        <w:rPr>
          <w:rFonts w:asciiTheme="minorBidi" w:hAnsiTheme="minorBidi" w:cstheme="minorBidi"/>
        </w:rPr>
        <w:t>Serraglio</w:t>
      </w:r>
      <w:proofErr w:type="spellEnd"/>
      <w:r w:rsidRPr="009B03E4">
        <w:rPr>
          <w:rFonts w:asciiTheme="minorBidi" w:hAnsiTheme="minorBidi" w:cstheme="minorBidi"/>
        </w:rPr>
        <w:t xml:space="preserve"> A. A public health model of the social determinants of health. Soz </w:t>
      </w:r>
      <w:proofErr w:type="spellStart"/>
      <w:r w:rsidRPr="009B03E4">
        <w:rPr>
          <w:rFonts w:asciiTheme="minorBidi" w:hAnsiTheme="minorBidi" w:cstheme="minorBidi"/>
        </w:rPr>
        <w:t>Praventivmed</w:t>
      </w:r>
      <w:proofErr w:type="spellEnd"/>
      <w:r w:rsidRPr="009B03E4">
        <w:rPr>
          <w:rFonts w:asciiTheme="minorBidi" w:hAnsiTheme="minorBidi" w:cstheme="minorBidi"/>
        </w:rPr>
        <w:t xml:space="preserve">. 2003;48(4): 242–51. Available </w:t>
      </w:r>
      <w:proofErr w:type="gramStart"/>
      <w:r w:rsidRPr="009B03E4">
        <w:rPr>
          <w:rFonts w:asciiTheme="minorBidi" w:hAnsiTheme="minorBidi" w:cstheme="minorBidi"/>
        </w:rPr>
        <w:t>from:.</w:t>
      </w:r>
      <w:proofErr w:type="gramEnd"/>
      <w:r w:rsidRPr="009B03E4">
        <w:rPr>
          <w:rFonts w:asciiTheme="minorBidi" w:hAnsiTheme="minorBidi" w:cstheme="minorBidi"/>
        </w:rPr>
        <w:t xml:space="preserve"> https://doi.org/10.1007/s00038-003-2052-4.</w:t>
      </w:r>
    </w:p>
    <w:p w14:paraId="6292AA30"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Asada Y. A framework for measuring health inequity. J Epidemiol Community Health. </w:t>
      </w:r>
      <w:proofErr w:type="gramStart"/>
      <w:r w:rsidRPr="00C864C5">
        <w:rPr>
          <w:rFonts w:asciiTheme="minorBidi" w:hAnsiTheme="minorBidi" w:cstheme="minorBidi"/>
        </w:rPr>
        <w:t>2005;59:700</w:t>
      </w:r>
      <w:proofErr w:type="gramEnd"/>
      <w:r w:rsidRPr="00C864C5">
        <w:rPr>
          <w:rFonts w:asciiTheme="minorBidi" w:hAnsiTheme="minorBidi" w:cstheme="minorBidi"/>
        </w:rPr>
        <w:t xml:space="preserve">–705. </w:t>
      </w:r>
      <w:proofErr w:type="spellStart"/>
      <w:r w:rsidRPr="00C864C5">
        <w:rPr>
          <w:rFonts w:asciiTheme="minorBidi" w:hAnsiTheme="minorBidi" w:cstheme="minorBidi"/>
        </w:rPr>
        <w:t>Braveman</w:t>
      </w:r>
      <w:proofErr w:type="spellEnd"/>
      <w:r w:rsidRPr="00C864C5">
        <w:rPr>
          <w:rFonts w:asciiTheme="minorBidi" w:hAnsiTheme="minorBidi" w:cstheme="minorBidi"/>
        </w:rPr>
        <w:t xml:space="preserve"> P. Health disparities and health equity: concepts and measurement. </w:t>
      </w:r>
      <w:proofErr w:type="spellStart"/>
      <w:r w:rsidRPr="00C864C5">
        <w:rPr>
          <w:rFonts w:asciiTheme="minorBidi" w:hAnsiTheme="minorBidi" w:cstheme="minorBidi"/>
        </w:rPr>
        <w:t>Annu</w:t>
      </w:r>
      <w:proofErr w:type="spellEnd"/>
      <w:r w:rsidRPr="00C864C5">
        <w:rPr>
          <w:rFonts w:asciiTheme="minorBidi" w:hAnsiTheme="minorBidi" w:cstheme="minorBidi"/>
        </w:rPr>
        <w:t xml:space="preserve"> Rev Public Health. 2006;27: 167–194.</w:t>
      </w:r>
    </w:p>
    <w:p w14:paraId="2F97DFC9" w14:textId="73BE206A" w:rsidR="0043339D" w:rsidRDefault="0043339D" w:rsidP="004B7EF7">
      <w:pPr>
        <w:ind w:left="540" w:hanging="540"/>
        <w:rPr>
          <w:rFonts w:asciiTheme="minorBidi" w:hAnsiTheme="minorBidi" w:cstheme="minorBidi"/>
        </w:rPr>
      </w:pPr>
      <w:proofErr w:type="spellStart"/>
      <w:r w:rsidRPr="00C864C5">
        <w:rPr>
          <w:rFonts w:asciiTheme="minorBidi" w:hAnsiTheme="minorBidi" w:cstheme="minorBidi"/>
        </w:rPr>
        <w:t>Birn</w:t>
      </w:r>
      <w:proofErr w:type="spellEnd"/>
      <w:r w:rsidRPr="00C864C5">
        <w:rPr>
          <w:rFonts w:asciiTheme="minorBidi" w:hAnsiTheme="minorBidi" w:cstheme="minorBidi"/>
        </w:rPr>
        <w:t xml:space="preserve"> A-E, Pillay Y, Holtz TH. Textbook of Global Health. Oxford: Oxford University Press; 2017. https://doi.org/10.1093/acprof:oso/9780199392285. 001.0001.</w:t>
      </w:r>
    </w:p>
    <w:p w14:paraId="5FEE7DB0" w14:textId="5FEA8B2C" w:rsidR="00A42EDC" w:rsidRPr="00C864C5" w:rsidRDefault="00A42EDC" w:rsidP="004B7EF7">
      <w:pPr>
        <w:ind w:left="540" w:hanging="540"/>
        <w:rPr>
          <w:rFonts w:asciiTheme="minorBidi" w:hAnsiTheme="minorBidi" w:cstheme="minorBidi"/>
        </w:rPr>
      </w:pPr>
      <w:proofErr w:type="spellStart"/>
      <w:r w:rsidRPr="00A42EDC">
        <w:rPr>
          <w:rFonts w:asciiTheme="minorBidi" w:hAnsiTheme="minorBidi" w:cstheme="minorBidi"/>
        </w:rPr>
        <w:t>Braveman</w:t>
      </w:r>
      <w:proofErr w:type="spellEnd"/>
      <w:r w:rsidRPr="00A42EDC">
        <w:rPr>
          <w:rFonts w:asciiTheme="minorBidi" w:hAnsiTheme="minorBidi" w:cstheme="minorBidi"/>
        </w:rPr>
        <w:t xml:space="preserve"> P. Health disparities and health equity: concepts and measurement. </w:t>
      </w:r>
      <w:proofErr w:type="spellStart"/>
      <w:r w:rsidRPr="00A42EDC">
        <w:rPr>
          <w:rFonts w:asciiTheme="minorBidi" w:hAnsiTheme="minorBidi" w:cstheme="minorBidi"/>
        </w:rPr>
        <w:t>Annu</w:t>
      </w:r>
      <w:proofErr w:type="spellEnd"/>
      <w:r w:rsidRPr="00A42EDC">
        <w:rPr>
          <w:rFonts w:asciiTheme="minorBidi" w:hAnsiTheme="minorBidi" w:cstheme="minorBidi"/>
        </w:rPr>
        <w:t xml:space="preserve"> Rev Public Health. 2006;27: 167–194.</w:t>
      </w:r>
    </w:p>
    <w:p w14:paraId="7070EE85"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Cash-Gibson L, Rojas-</w:t>
      </w:r>
      <w:proofErr w:type="spellStart"/>
      <w:r w:rsidRPr="00C864C5">
        <w:rPr>
          <w:rFonts w:asciiTheme="minorBidi" w:hAnsiTheme="minorBidi" w:cstheme="minorBidi"/>
        </w:rPr>
        <w:t>Gualdrón</w:t>
      </w:r>
      <w:proofErr w:type="spellEnd"/>
      <w:r w:rsidRPr="00C864C5">
        <w:rPr>
          <w:rFonts w:asciiTheme="minorBidi" w:hAnsiTheme="minorBidi" w:cstheme="minorBidi"/>
        </w:rPr>
        <w:t xml:space="preserve"> DF, </w:t>
      </w:r>
      <w:proofErr w:type="spellStart"/>
      <w:r w:rsidRPr="00C864C5">
        <w:rPr>
          <w:rFonts w:asciiTheme="minorBidi" w:hAnsiTheme="minorBidi" w:cstheme="minorBidi"/>
        </w:rPr>
        <w:t>Pericàs</w:t>
      </w:r>
      <w:proofErr w:type="spellEnd"/>
      <w:r w:rsidRPr="00C864C5">
        <w:rPr>
          <w:rFonts w:asciiTheme="minorBidi" w:hAnsiTheme="minorBidi" w:cstheme="minorBidi"/>
        </w:rPr>
        <w:t xml:space="preserve"> JM, </w:t>
      </w:r>
      <w:proofErr w:type="spellStart"/>
      <w:r w:rsidRPr="00C864C5">
        <w:rPr>
          <w:rFonts w:asciiTheme="minorBidi" w:hAnsiTheme="minorBidi" w:cstheme="minorBidi"/>
        </w:rPr>
        <w:t>Benach</w:t>
      </w:r>
      <w:proofErr w:type="spellEnd"/>
      <w:r w:rsidRPr="00C864C5">
        <w:rPr>
          <w:rFonts w:asciiTheme="minorBidi" w:hAnsiTheme="minorBidi" w:cstheme="minorBidi"/>
        </w:rPr>
        <w:t xml:space="preserve"> J. Inequalities in global health inequalities research: a 50-year bibliometric analysis (1966–2015). </w:t>
      </w:r>
      <w:proofErr w:type="spellStart"/>
      <w:r w:rsidRPr="00C864C5">
        <w:rPr>
          <w:rFonts w:asciiTheme="minorBidi" w:hAnsiTheme="minorBidi" w:cstheme="minorBidi"/>
        </w:rPr>
        <w:t>PLoS</w:t>
      </w:r>
      <w:proofErr w:type="spellEnd"/>
      <w:r w:rsidRPr="00C864C5">
        <w:rPr>
          <w:rFonts w:asciiTheme="minorBidi" w:hAnsiTheme="minorBidi" w:cstheme="minorBidi"/>
        </w:rPr>
        <w:t xml:space="preserve"> One. 2018;</w:t>
      </w:r>
      <w:proofErr w:type="gramStart"/>
      <w:r w:rsidRPr="00C864C5">
        <w:rPr>
          <w:rFonts w:asciiTheme="minorBidi" w:hAnsiTheme="minorBidi" w:cstheme="minorBidi"/>
        </w:rPr>
        <w:t>13:e</w:t>
      </w:r>
      <w:proofErr w:type="gramEnd"/>
      <w:r w:rsidRPr="00C864C5">
        <w:rPr>
          <w:rFonts w:asciiTheme="minorBidi" w:hAnsiTheme="minorBidi" w:cstheme="minorBidi"/>
        </w:rPr>
        <w:t>0191901. https://doi.org/10.1371/journal.pone. 0191901.</w:t>
      </w:r>
    </w:p>
    <w:p w14:paraId="377B4F9D"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hAnsiTheme="minorBidi" w:cstheme="minorBidi"/>
        </w:rPr>
        <w:t xml:space="preserve">Chee G, </w:t>
      </w:r>
      <w:proofErr w:type="spellStart"/>
      <w:r w:rsidRPr="00C864C5">
        <w:rPr>
          <w:rFonts w:asciiTheme="minorBidi" w:hAnsiTheme="minorBidi" w:cstheme="minorBidi"/>
        </w:rPr>
        <w:t>Pielemeier</w:t>
      </w:r>
      <w:proofErr w:type="spellEnd"/>
      <w:r w:rsidRPr="00C864C5">
        <w:rPr>
          <w:rFonts w:asciiTheme="minorBidi" w:hAnsiTheme="minorBidi" w:cstheme="minorBidi"/>
        </w:rPr>
        <w:t xml:space="preserve"> N, Lion A, Connor C. Why differentiating between health system support and health system strengthening is needed. Int J Health </w:t>
      </w:r>
      <w:proofErr w:type="spellStart"/>
      <w:r w:rsidRPr="00C864C5">
        <w:rPr>
          <w:rFonts w:asciiTheme="minorBidi" w:hAnsiTheme="minorBidi" w:cstheme="minorBidi"/>
        </w:rPr>
        <w:t>Plann</w:t>
      </w:r>
      <w:proofErr w:type="spellEnd"/>
      <w:r w:rsidRPr="00C864C5">
        <w:rPr>
          <w:rFonts w:asciiTheme="minorBidi" w:hAnsiTheme="minorBidi" w:cstheme="minorBidi"/>
        </w:rPr>
        <w:t xml:space="preserve"> Mgmt. 2013;28: 85–94.</w:t>
      </w:r>
    </w:p>
    <w:p w14:paraId="10AA1813" w14:textId="77777777" w:rsidR="0043339D" w:rsidRPr="00C864C5" w:rsidRDefault="0043339D" w:rsidP="004B7EF7">
      <w:pPr>
        <w:pStyle w:val="Bibliography"/>
        <w:spacing w:after="0" w:line="360" w:lineRule="auto"/>
        <w:ind w:left="540" w:hanging="540"/>
        <w:jc w:val="both"/>
        <w:rPr>
          <w:rFonts w:asciiTheme="minorBidi" w:hAnsiTheme="minorBidi"/>
        </w:rPr>
      </w:pPr>
      <w:r w:rsidRPr="00C864C5">
        <w:rPr>
          <w:rFonts w:asciiTheme="minorBidi" w:hAnsiTheme="minorBidi"/>
        </w:rPr>
        <w:t xml:space="preserve">Clifford GD. E-Health in Low to Middle Income Countries. </w:t>
      </w:r>
      <w:r w:rsidRPr="00C864C5">
        <w:rPr>
          <w:rFonts w:asciiTheme="minorBidi" w:hAnsiTheme="minorBidi"/>
          <w:i/>
          <w:iCs/>
        </w:rPr>
        <w:t xml:space="preserve">J Med </w:t>
      </w:r>
      <w:proofErr w:type="spellStart"/>
      <w:r w:rsidRPr="00C864C5">
        <w:rPr>
          <w:rFonts w:asciiTheme="minorBidi" w:hAnsiTheme="minorBidi"/>
          <w:i/>
          <w:iCs/>
        </w:rPr>
        <w:t>Eng</w:t>
      </w:r>
      <w:proofErr w:type="spellEnd"/>
      <w:r w:rsidRPr="00C864C5">
        <w:rPr>
          <w:rFonts w:asciiTheme="minorBidi" w:hAnsiTheme="minorBidi"/>
          <w:i/>
          <w:iCs/>
        </w:rPr>
        <w:t xml:space="preserve"> Technol</w:t>
      </w:r>
      <w:r w:rsidRPr="00C864C5">
        <w:rPr>
          <w:rFonts w:asciiTheme="minorBidi" w:hAnsiTheme="minorBidi"/>
        </w:rPr>
        <w:t>. 2016;40(7-8):336-341. doi:10.1080/03091902.2016.1256081</w:t>
      </w:r>
    </w:p>
    <w:p w14:paraId="686A42CD"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CSDH (2008). Closing the gap in a generation: health equity through action on the social</w:t>
      </w:r>
    </w:p>
    <w:p w14:paraId="4F91B1A0"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determinants of health. Final Report of the Commission on Social Determinants of Health.</w:t>
      </w:r>
    </w:p>
    <w:p w14:paraId="23582A55"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Geneva, World Health Organization. Available at </w:t>
      </w:r>
      <w:hyperlink r:id="rId19" w:history="1">
        <w:r w:rsidRPr="00C864C5">
          <w:rPr>
            <w:rStyle w:val="Hyperlink"/>
            <w:rFonts w:asciiTheme="minorBidi" w:hAnsiTheme="minorBidi" w:cstheme="minorBidi"/>
          </w:rPr>
          <w:t>https://apps.who.int/iris/bitstream/handle/10665/43943/9789241563703_eng.pdf</w:t>
        </w:r>
      </w:hyperlink>
      <w:r w:rsidRPr="00C864C5">
        <w:rPr>
          <w:rFonts w:asciiTheme="minorBidi" w:hAnsiTheme="minorBidi" w:cstheme="minorBidi"/>
        </w:rPr>
        <w:t>.</w:t>
      </w:r>
    </w:p>
    <w:p w14:paraId="085CC53E" w14:textId="081BB5D6" w:rsidR="0043339D" w:rsidRDefault="0043339D" w:rsidP="004B7EF7">
      <w:pPr>
        <w:pStyle w:val="Default"/>
        <w:spacing w:line="360" w:lineRule="auto"/>
        <w:ind w:left="540" w:hanging="540"/>
        <w:jc w:val="both"/>
        <w:rPr>
          <w:rFonts w:asciiTheme="minorBidi" w:hAnsiTheme="minorBidi" w:cstheme="minorBidi"/>
          <w:color w:val="434343"/>
          <w:sz w:val="22"/>
          <w:szCs w:val="22"/>
          <w:shd w:val="clear" w:color="auto" w:fill="FFFFFF"/>
        </w:rPr>
      </w:pPr>
      <w:r w:rsidRPr="00C864C5">
        <w:rPr>
          <w:rFonts w:asciiTheme="minorBidi" w:hAnsiTheme="minorBidi" w:cstheme="minorBidi"/>
          <w:color w:val="434343"/>
          <w:sz w:val="22"/>
          <w:szCs w:val="22"/>
          <w:shd w:val="clear" w:color="auto" w:fill="FFFFFF"/>
        </w:rPr>
        <w:t xml:space="preserve">CSDH-EMR 2021. Build back fairer: achieving health equity in the Eastern Mediterranean Region. Report of </w:t>
      </w:r>
      <w:bookmarkStart w:id="169" w:name="_Hlk72419303"/>
      <w:r w:rsidRPr="00C864C5">
        <w:rPr>
          <w:rFonts w:asciiTheme="minorBidi" w:hAnsiTheme="minorBidi" w:cstheme="minorBidi"/>
          <w:color w:val="434343"/>
          <w:sz w:val="22"/>
          <w:szCs w:val="22"/>
          <w:shd w:val="clear" w:color="auto" w:fill="FFFFFF"/>
        </w:rPr>
        <w:t>the Commission on the Social Determinants of Health in the Eastern Mediterranean Region</w:t>
      </w:r>
      <w:bookmarkEnd w:id="169"/>
      <w:r w:rsidRPr="00C864C5">
        <w:rPr>
          <w:rFonts w:asciiTheme="minorBidi" w:hAnsiTheme="minorBidi" w:cstheme="minorBidi"/>
          <w:color w:val="434343"/>
          <w:sz w:val="22"/>
          <w:szCs w:val="22"/>
          <w:shd w:val="clear" w:color="auto" w:fill="FFFFFF"/>
        </w:rPr>
        <w:t>.</w:t>
      </w:r>
    </w:p>
    <w:p w14:paraId="2A1B920F" w14:textId="49E21DFC" w:rsidR="00C70054" w:rsidRDefault="00C70054" w:rsidP="004B7EF7">
      <w:pPr>
        <w:pStyle w:val="Default"/>
        <w:spacing w:line="360" w:lineRule="auto"/>
        <w:ind w:left="540" w:hanging="540"/>
        <w:jc w:val="both"/>
        <w:rPr>
          <w:rFonts w:asciiTheme="minorBidi" w:hAnsiTheme="minorBidi" w:cstheme="minorBidi"/>
          <w:color w:val="434343"/>
          <w:sz w:val="22"/>
          <w:szCs w:val="22"/>
          <w:shd w:val="clear" w:color="auto" w:fill="FFFFFF"/>
        </w:rPr>
      </w:pPr>
      <w:r w:rsidRPr="00C70054">
        <w:rPr>
          <w:rFonts w:asciiTheme="minorBidi" w:hAnsiTheme="minorBidi" w:cstheme="minorBidi"/>
          <w:color w:val="434343"/>
          <w:sz w:val="22"/>
          <w:szCs w:val="22"/>
          <w:shd w:val="clear" w:color="auto" w:fill="FFFFFF"/>
        </w:rPr>
        <w:t xml:space="preserve">Dahlgren G. Whitehead M. Policies and Strategies to Promote Social </w:t>
      </w:r>
      <w:proofErr w:type="spellStart"/>
      <w:r w:rsidRPr="00C70054">
        <w:rPr>
          <w:rFonts w:asciiTheme="minorBidi" w:hAnsiTheme="minorBidi" w:cstheme="minorBidi"/>
          <w:color w:val="434343"/>
          <w:sz w:val="22"/>
          <w:szCs w:val="22"/>
          <w:shd w:val="clear" w:color="auto" w:fill="FFFFFF"/>
        </w:rPr>
        <w:t>Equit</w:t>
      </w:r>
      <w:proofErr w:type="spellEnd"/>
      <w:r w:rsidRPr="00C70054">
        <w:rPr>
          <w:rFonts w:asciiTheme="minorBidi" w:hAnsiTheme="minorBidi" w:cstheme="minorBidi"/>
          <w:color w:val="434343"/>
          <w:sz w:val="22"/>
          <w:szCs w:val="22"/>
          <w:shd w:val="clear" w:color="auto" w:fill="FFFFFF"/>
        </w:rPr>
        <w:t xml:space="preserve"> in Health. Stockholm, Sweden: Institute for Futures Studies; 1991.</w:t>
      </w:r>
    </w:p>
    <w:p w14:paraId="02A51AB3" w14:textId="00623E42" w:rsidR="00C70054" w:rsidRDefault="00C70054" w:rsidP="004B7EF7">
      <w:pPr>
        <w:pStyle w:val="Default"/>
        <w:spacing w:line="360" w:lineRule="auto"/>
        <w:ind w:left="540" w:hanging="540"/>
        <w:jc w:val="both"/>
        <w:rPr>
          <w:rFonts w:asciiTheme="minorBidi" w:hAnsiTheme="minorBidi" w:cstheme="minorBidi"/>
          <w:color w:val="434343"/>
          <w:sz w:val="22"/>
          <w:szCs w:val="22"/>
          <w:shd w:val="clear" w:color="auto" w:fill="FFFFFF"/>
        </w:rPr>
      </w:pPr>
      <w:proofErr w:type="spellStart"/>
      <w:r w:rsidRPr="00C70054">
        <w:rPr>
          <w:rFonts w:asciiTheme="minorBidi" w:hAnsiTheme="minorBidi" w:cstheme="minorBidi"/>
          <w:color w:val="434343"/>
          <w:sz w:val="22"/>
          <w:szCs w:val="22"/>
          <w:shd w:val="clear" w:color="auto" w:fill="FFFFFF"/>
        </w:rPr>
        <w:lastRenderedPageBreak/>
        <w:t>Diderichsen</w:t>
      </w:r>
      <w:proofErr w:type="spellEnd"/>
      <w:r w:rsidRPr="00C70054">
        <w:rPr>
          <w:rFonts w:asciiTheme="minorBidi" w:hAnsiTheme="minorBidi" w:cstheme="minorBidi"/>
          <w:color w:val="434343"/>
          <w:sz w:val="22"/>
          <w:szCs w:val="22"/>
          <w:shd w:val="clear" w:color="auto" w:fill="FFFFFF"/>
        </w:rPr>
        <w:t xml:space="preserve"> F, Evans T, Whitehead M. The social basis of disparities in health. In: Evans T, editor. Challenging inequities in health: from ethics to action. New York: Oxford University Press; 2001. p. 12–23</w:t>
      </w:r>
      <w:r>
        <w:rPr>
          <w:rFonts w:asciiTheme="minorBidi" w:hAnsiTheme="minorBidi" w:cstheme="minorBidi"/>
          <w:color w:val="434343"/>
          <w:sz w:val="22"/>
          <w:szCs w:val="22"/>
          <w:shd w:val="clear" w:color="auto" w:fill="FFFFFF"/>
        </w:rPr>
        <w:t>.</w:t>
      </w:r>
    </w:p>
    <w:p w14:paraId="53FB28C4" w14:textId="5700C746" w:rsidR="00C70054" w:rsidRDefault="00C70054" w:rsidP="004B7EF7">
      <w:pPr>
        <w:pStyle w:val="Default"/>
        <w:spacing w:line="360" w:lineRule="auto"/>
        <w:ind w:left="540" w:hanging="540"/>
        <w:jc w:val="both"/>
        <w:rPr>
          <w:rFonts w:asciiTheme="minorBidi" w:hAnsiTheme="minorBidi" w:cstheme="minorBidi"/>
          <w:color w:val="434343"/>
          <w:sz w:val="22"/>
          <w:szCs w:val="22"/>
          <w:shd w:val="clear" w:color="auto" w:fill="FFFFFF"/>
        </w:rPr>
      </w:pPr>
      <w:r w:rsidRPr="00C70054">
        <w:rPr>
          <w:rFonts w:asciiTheme="minorBidi" w:hAnsiTheme="minorBidi" w:cstheme="minorBidi"/>
          <w:color w:val="434343"/>
          <w:sz w:val="22"/>
          <w:szCs w:val="22"/>
          <w:shd w:val="clear" w:color="auto" w:fill="FFFFFF"/>
        </w:rPr>
        <w:t>Douglas C Dover and Ana Paula Belon. The health equity measurement framework: a comprehensive model to measure social inequities in health.  International Journal for Equity in Health 2019: 18:36. Available at https://doi.org/10.1186/s12939-019-0935-0</w:t>
      </w:r>
    </w:p>
    <w:p w14:paraId="3BAFD783" w14:textId="01FB4A2B" w:rsidR="006B7D3B" w:rsidRPr="00C864C5" w:rsidRDefault="006B7D3B" w:rsidP="004B7EF7">
      <w:pPr>
        <w:pStyle w:val="Default"/>
        <w:spacing w:line="360" w:lineRule="auto"/>
        <w:ind w:left="540" w:hanging="540"/>
        <w:jc w:val="both"/>
        <w:rPr>
          <w:rFonts w:asciiTheme="minorBidi" w:hAnsiTheme="minorBidi" w:cstheme="minorBidi"/>
          <w:color w:val="434343"/>
          <w:sz w:val="22"/>
          <w:szCs w:val="22"/>
          <w:shd w:val="clear" w:color="auto" w:fill="FFFFFF"/>
        </w:rPr>
      </w:pPr>
      <w:r w:rsidRPr="006B7D3B">
        <w:rPr>
          <w:rFonts w:asciiTheme="minorBidi" w:hAnsiTheme="minorBidi" w:cstheme="minorBidi"/>
          <w:color w:val="434343"/>
          <w:sz w:val="22"/>
          <w:szCs w:val="22"/>
          <w:shd w:val="clear" w:color="auto" w:fill="FFFFFF"/>
        </w:rPr>
        <w:t>Dye C, Reeder JC, Terry RF. The world health report 2013: research for universal health coverage. Geneva: WHO; 2013</w:t>
      </w:r>
    </w:p>
    <w:p w14:paraId="6A077E23" w14:textId="77777777" w:rsidR="0043339D" w:rsidRPr="00C864C5" w:rsidRDefault="0043339D" w:rsidP="004B7EF7">
      <w:pPr>
        <w:pStyle w:val="Bibliography"/>
        <w:spacing w:after="0" w:line="360" w:lineRule="auto"/>
        <w:ind w:left="540" w:hanging="540"/>
        <w:contextualSpacing/>
        <w:jc w:val="both"/>
        <w:rPr>
          <w:rFonts w:asciiTheme="minorBidi" w:hAnsiTheme="minorBidi"/>
        </w:rPr>
      </w:pPr>
      <w:bookmarkStart w:id="170" w:name="_Hlk72673109"/>
      <w:proofErr w:type="spellStart"/>
      <w:r w:rsidRPr="00C864C5">
        <w:rPr>
          <w:rFonts w:asciiTheme="minorBidi" w:hAnsiTheme="minorBidi"/>
        </w:rPr>
        <w:t>Exworthy</w:t>
      </w:r>
      <w:proofErr w:type="spellEnd"/>
      <w:r w:rsidRPr="00C864C5">
        <w:rPr>
          <w:rFonts w:asciiTheme="minorBidi" w:hAnsiTheme="minorBidi"/>
        </w:rPr>
        <w:t xml:space="preserve"> M 2008. Policy to tackle the social determinants of health: using conceptual models to understand the policy process. Health Policy and Planning </w:t>
      </w:r>
      <w:proofErr w:type="gramStart"/>
      <w:r w:rsidRPr="00C864C5">
        <w:rPr>
          <w:rFonts w:asciiTheme="minorBidi" w:hAnsiTheme="minorBidi"/>
        </w:rPr>
        <w:t>2008;23:318</w:t>
      </w:r>
      <w:proofErr w:type="gramEnd"/>
      <w:r w:rsidRPr="00C864C5">
        <w:rPr>
          <w:rFonts w:asciiTheme="minorBidi" w:hAnsiTheme="minorBidi"/>
        </w:rPr>
        <w:t>–327 doi:10.1093/</w:t>
      </w:r>
      <w:proofErr w:type="spellStart"/>
      <w:r w:rsidRPr="00C864C5">
        <w:rPr>
          <w:rFonts w:asciiTheme="minorBidi" w:hAnsiTheme="minorBidi"/>
        </w:rPr>
        <w:t>heapol</w:t>
      </w:r>
      <w:proofErr w:type="spellEnd"/>
      <w:r w:rsidRPr="00C864C5">
        <w:rPr>
          <w:rFonts w:asciiTheme="minorBidi" w:hAnsiTheme="minorBidi"/>
        </w:rPr>
        <w:t>/czn022. Available at https://doi.org/10.1093/heapol/czn022.</w:t>
      </w:r>
    </w:p>
    <w:p w14:paraId="3C7F01C5"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Galea S, Abdalla SM, </w:t>
      </w:r>
      <w:proofErr w:type="spellStart"/>
      <w:r w:rsidRPr="00C864C5">
        <w:rPr>
          <w:rFonts w:asciiTheme="minorBidi" w:hAnsiTheme="minorBidi" w:cstheme="minorBidi"/>
        </w:rPr>
        <w:t>Sturchio</w:t>
      </w:r>
      <w:proofErr w:type="spellEnd"/>
      <w:r w:rsidRPr="00C864C5">
        <w:rPr>
          <w:rFonts w:asciiTheme="minorBidi" w:hAnsiTheme="minorBidi" w:cstheme="minorBidi"/>
        </w:rPr>
        <w:t xml:space="preserve"> JL. Social determinants of health, data science, and decision-making: Forging a transdisciplinary synthesis. PLOS Med. 2020;17(6</w:t>
      </w:r>
      <w:proofErr w:type="gramStart"/>
      <w:r w:rsidRPr="00C864C5">
        <w:rPr>
          <w:rFonts w:asciiTheme="minorBidi" w:hAnsiTheme="minorBidi" w:cstheme="minorBidi"/>
        </w:rPr>
        <w:t>):e</w:t>
      </w:r>
      <w:proofErr w:type="gramEnd"/>
      <w:r w:rsidRPr="00C864C5">
        <w:rPr>
          <w:rFonts w:asciiTheme="minorBidi" w:hAnsiTheme="minorBidi" w:cstheme="minorBidi"/>
        </w:rPr>
        <w:t xml:space="preserve">1003174. </w:t>
      </w:r>
      <w:proofErr w:type="gramStart"/>
      <w:r w:rsidRPr="00C864C5">
        <w:rPr>
          <w:rFonts w:asciiTheme="minorBidi" w:hAnsiTheme="minorBidi" w:cstheme="minorBidi"/>
        </w:rPr>
        <w:t>doi:10.1371/journal.pmed</w:t>
      </w:r>
      <w:proofErr w:type="gramEnd"/>
      <w:r w:rsidRPr="00C864C5">
        <w:rPr>
          <w:rFonts w:asciiTheme="minorBidi" w:hAnsiTheme="minorBidi" w:cstheme="minorBidi"/>
        </w:rPr>
        <w:t>.1003174</w:t>
      </w:r>
    </w:p>
    <w:p w14:paraId="6F73C279"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Gray</w:t>
      </w:r>
      <w:bookmarkEnd w:id="170"/>
      <w:r w:rsidRPr="00C864C5">
        <w:rPr>
          <w:rFonts w:asciiTheme="minorBidi" w:hAnsiTheme="minorBidi" w:cstheme="minorBidi"/>
        </w:rPr>
        <w:t xml:space="preserve"> AM. Inequalities in health. The Black Report: a summary and comment. </w:t>
      </w:r>
      <w:r w:rsidRPr="00C864C5">
        <w:rPr>
          <w:rFonts w:asciiTheme="minorBidi" w:hAnsiTheme="minorBidi" w:cstheme="minorBidi"/>
          <w:i/>
          <w:iCs/>
        </w:rPr>
        <w:t>Int J Health Serv Plan Adm Eval</w:t>
      </w:r>
      <w:r w:rsidRPr="00C864C5">
        <w:rPr>
          <w:rFonts w:asciiTheme="minorBidi" w:hAnsiTheme="minorBidi" w:cstheme="minorBidi"/>
        </w:rPr>
        <w:t>. 1982;12(3):349-380. doi:10.2190/XXMM-JMQU-2A7Y-HX1E.</w:t>
      </w:r>
      <w:bookmarkStart w:id="171" w:name="_Hlk72416967"/>
    </w:p>
    <w:p w14:paraId="46F888FA" w14:textId="77777777" w:rsidR="0043339D" w:rsidRPr="00C864C5" w:rsidRDefault="0043339D" w:rsidP="004B7EF7">
      <w:pPr>
        <w:pStyle w:val="Bibliography"/>
        <w:spacing w:after="0" w:line="360" w:lineRule="auto"/>
        <w:ind w:left="540" w:hanging="540"/>
        <w:contextualSpacing/>
        <w:jc w:val="both"/>
        <w:rPr>
          <w:rFonts w:asciiTheme="minorBidi" w:hAnsiTheme="minorBidi"/>
        </w:rPr>
      </w:pPr>
      <w:bookmarkStart w:id="172" w:name="_Hlk72840663"/>
      <w:bookmarkStart w:id="173" w:name="_Hlk72837862"/>
      <w:r w:rsidRPr="00C864C5">
        <w:rPr>
          <w:rFonts w:asciiTheme="minorBidi" w:hAnsiTheme="minorBidi"/>
        </w:rPr>
        <w:t>Guerra</w:t>
      </w:r>
      <w:bookmarkEnd w:id="172"/>
      <w:r w:rsidRPr="00C864C5">
        <w:rPr>
          <w:rFonts w:asciiTheme="minorBidi" w:hAnsiTheme="minorBidi"/>
        </w:rPr>
        <w:t xml:space="preserve"> G, </w:t>
      </w:r>
      <w:proofErr w:type="spellStart"/>
      <w:r w:rsidRPr="00C864C5">
        <w:rPr>
          <w:rFonts w:asciiTheme="minorBidi" w:hAnsiTheme="minorBidi"/>
        </w:rPr>
        <w:t>Borde</w:t>
      </w:r>
      <w:proofErr w:type="spellEnd"/>
      <w:r w:rsidRPr="00C864C5">
        <w:rPr>
          <w:rFonts w:asciiTheme="minorBidi" w:hAnsiTheme="minorBidi"/>
        </w:rPr>
        <w:t xml:space="preserve"> E, Salgado de Snyder VN. Measuring health inequities in </w:t>
      </w:r>
      <w:proofErr w:type="gramStart"/>
      <w:r w:rsidRPr="00C864C5">
        <w:rPr>
          <w:rFonts w:asciiTheme="minorBidi" w:hAnsiTheme="minorBidi"/>
        </w:rPr>
        <w:t>low and middle income</w:t>
      </w:r>
      <w:proofErr w:type="gramEnd"/>
      <w:r w:rsidRPr="00C864C5">
        <w:rPr>
          <w:rFonts w:asciiTheme="minorBidi" w:hAnsiTheme="minorBidi"/>
        </w:rPr>
        <w:t xml:space="preserve"> countries for the development of observatories on inequities and social determinants of health. Int J Equity Health 2016 Jan 19;15(1):9. Available from: https://doi.org/10.1186/s12939-016-0297-9.</w:t>
      </w:r>
    </w:p>
    <w:p w14:paraId="47ABC3C0" w14:textId="77777777" w:rsidR="0043339D" w:rsidRPr="00C864C5" w:rsidRDefault="0043339D" w:rsidP="004B7EF7">
      <w:pPr>
        <w:ind w:left="540" w:hanging="540"/>
        <w:rPr>
          <w:rFonts w:asciiTheme="minorBidi" w:hAnsiTheme="minorBidi" w:cstheme="minorBidi"/>
        </w:rPr>
      </w:pPr>
      <w:proofErr w:type="spellStart"/>
      <w:r w:rsidRPr="00C864C5">
        <w:rPr>
          <w:rFonts w:asciiTheme="minorBidi" w:hAnsiTheme="minorBidi" w:cstheme="minorBidi"/>
        </w:rPr>
        <w:t>Hillemeier</w:t>
      </w:r>
      <w:bookmarkEnd w:id="173"/>
      <w:proofErr w:type="spellEnd"/>
      <w:r w:rsidRPr="00C864C5">
        <w:rPr>
          <w:rFonts w:asciiTheme="minorBidi" w:hAnsiTheme="minorBidi" w:cstheme="minorBidi"/>
        </w:rPr>
        <w:t xml:space="preserve"> M, Lynch J, Harper S, Casper M 2004. Data Set Directory of Social Determinants of Health at the Local Level. Atlanta: U.S. Department of Health and Human Services, Centers for Disease Control and Prevention; 2004. Available at https://www.cdc.gov/dhdsp/docs/data_set_directory.pdf. </w:t>
      </w:r>
    </w:p>
    <w:p w14:paraId="238169EE" w14:textId="77777777" w:rsidR="0043339D" w:rsidRPr="00C864C5" w:rsidRDefault="0043339D" w:rsidP="004B7EF7">
      <w:pPr>
        <w:autoSpaceDE w:val="0"/>
        <w:autoSpaceDN w:val="0"/>
        <w:adjustRightInd w:val="0"/>
        <w:ind w:left="540" w:hanging="540"/>
        <w:rPr>
          <w:rFonts w:asciiTheme="minorBidi" w:hAnsiTheme="minorBidi" w:cstheme="minorBidi"/>
        </w:rPr>
      </w:pPr>
      <w:proofErr w:type="spellStart"/>
      <w:r w:rsidRPr="00C864C5">
        <w:rPr>
          <w:rFonts w:asciiTheme="minorBidi" w:hAnsiTheme="minorBidi" w:cstheme="minorBidi"/>
        </w:rPr>
        <w:t>Koolman</w:t>
      </w:r>
      <w:proofErr w:type="spellEnd"/>
      <w:r w:rsidRPr="00C864C5">
        <w:rPr>
          <w:rFonts w:asciiTheme="minorBidi" w:hAnsiTheme="minorBidi" w:cstheme="minorBidi"/>
        </w:rPr>
        <w:t xml:space="preserve"> X, </w:t>
      </w:r>
      <w:bookmarkStart w:id="174" w:name="_Hlk72847959"/>
      <w:r w:rsidRPr="00C864C5">
        <w:rPr>
          <w:rFonts w:asciiTheme="minorBidi" w:hAnsiTheme="minorBidi" w:cstheme="minorBidi"/>
        </w:rPr>
        <w:t xml:space="preserve">van </w:t>
      </w:r>
      <w:proofErr w:type="spellStart"/>
      <w:r w:rsidRPr="00C864C5">
        <w:rPr>
          <w:rFonts w:asciiTheme="minorBidi" w:hAnsiTheme="minorBidi" w:cstheme="minorBidi"/>
        </w:rPr>
        <w:t>Doorslaer</w:t>
      </w:r>
      <w:bookmarkEnd w:id="174"/>
      <w:proofErr w:type="spellEnd"/>
      <w:r w:rsidRPr="00C864C5">
        <w:rPr>
          <w:rFonts w:asciiTheme="minorBidi" w:hAnsiTheme="minorBidi" w:cstheme="minorBidi"/>
        </w:rPr>
        <w:t xml:space="preserve"> E. On the interpretation of a concentration index of inequality. Health Econ. 2004;13: 649–656.</w:t>
      </w:r>
    </w:p>
    <w:p w14:paraId="36C98662" w14:textId="77777777" w:rsidR="0043339D" w:rsidRPr="00C864C5" w:rsidRDefault="0043339D" w:rsidP="004B7EF7">
      <w:pPr>
        <w:ind w:left="540" w:hanging="540"/>
        <w:rPr>
          <w:rFonts w:asciiTheme="minorBidi" w:eastAsia="Times New Roman" w:hAnsiTheme="minorBidi" w:cstheme="minorBidi"/>
        </w:rPr>
      </w:pPr>
      <w:proofErr w:type="spellStart"/>
      <w:r w:rsidRPr="00C864C5">
        <w:rPr>
          <w:rFonts w:asciiTheme="minorBidi" w:eastAsia="Times New Roman" w:hAnsiTheme="minorBidi" w:cstheme="minorBidi"/>
        </w:rPr>
        <w:t>Kreisel</w:t>
      </w:r>
      <w:proofErr w:type="spellEnd"/>
      <w:r w:rsidRPr="00C864C5">
        <w:rPr>
          <w:rFonts w:asciiTheme="minorBidi" w:eastAsia="Times New Roman" w:hAnsiTheme="minorBidi" w:cstheme="minorBidi"/>
        </w:rPr>
        <w:t xml:space="preserve"> W, von </w:t>
      </w:r>
      <w:proofErr w:type="spellStart"/>
      <w:r w:rsidRPr="00C864C5">
        <w:rPr>
          <w:rFonts w:asciiTheme="minorBidi" w:eastAsia="Times New Roman" w:hAnsiTheme="minorBidi" w:cstheme="minorBidi"/>
        </w:rPr>
        <w:t>Schirnding</w:t>
      </w:r>
      <w:proofErr w:type="spellEnd"/>
      <w:r w:rsidRPr="00C864C5">
        <w:rPr>
          <w:rFonts w:asciiTheme="minorBidi" w:eastAsia="Times New Roman" w:hAnsiTheme="minorBidi" w:cstheme="minorBidi"/>
        </w:rPr>
        <w:t xml:space="preserve"> </w:t>
      </w:r>
      <w:bookmarkEnd w:id="171"/>
      <w:r w:rsidRPr="00C864C5">
        <w:rPr>
          <w:rFonts w:asciiTheme="minorBidi" w:eastAsia="Times New Roman" w:hAnsiTheme="minorBidi" w:cstheme="minorBidi"/>
        </w:rPr>
        <w:t xml:space="preserve">Y. Intersectoral action for health and wellbeing: a cornerstone for </w:t>
      </w:r>
      <w:proofErr w:type="spellStart"/>
      <w:r w:rsidRPr="00C864C5">
        <w:rPr>
          <w:rFonts w:asciiTheme="minorBidi" w:eastAsia="Times New Roman" w:hAnsiTheme="minorBidi" w:cstheme="minorBidi"/>
        </w:rPr>
        <w:t>healthfor</w:t>
      </w:r>
      <w:proofErr w:type="spellEnd"/>
      <w:r w:rsidRPr="00C864C5">
        <w:rPr>
          <w:rFonts w:asciiTheme="minorBidi" w:eastAsia="Times New Roman" w:hAnsiTheme="minorBidi" w:cstheme="minorBidi"/>
        </w:rPr>
        <w:t>-all in the twenty-first century. World Health Stat Q. 1998;51(1):75–8.</w:t>
      </w:r>
    </w:p>
    <w:p w14:paraId="6C353CE8" w14:textId="77777777" w:rsidR="0043339D" w:rsidRPr="00C864C5" w:rsidRDefault="0043339D" w:rsidP="004B7EF7">
      <w:pPr>
        <w:ind w:left="540" w:hanging="540"/>
        <w:rPr>
          <w:rFonts w:asciiTheme="minorBidi" w:hAnsiTheme="minorBidi" w:cstheme="minorBidi"/>
        </w:rPr>
      </w:pPr>
      <w:proofErr w:type="spellStart"/>
      <w:r w:rsidRPr="00C864C5">
        <w:rPr>
          <w:rFonts w:asciiTheme="minorBidi" w:hAnsiTheme="minorBidi" w:cstheme="minorBidi"/>
        </w:rPr>
        <w:t>Lippeveld</w:t>
      </w:r>
      <w:proofErr w:type="spellEnd"/>
      <w:r w:rsidRPr="00C864C5">
        <w:rPr>
          <w:rFonts w:asciiTheme="minorBidi" w:hAnsiTheme="minorBidi" w:cstheme="minorBidi"/>
        </w:rPr>
        <w:t xml:space="preserve">, T., </w:t>
      </w:r>
      <w:proofErr w:type="spellStart"/>
      <w:r w:rsidRPr="00C864C5">
        <w:rPr>
          <w:rFonts w:asciiTheme="minorBidi" w:hAnsiTheme="minorBidi" w:cstheme="minorBidi"/>
        </w:rPr>
        <w:t>Sauerborn</w:t>
      </w:r>
      <w:proofErr w:type="spellEnd"/>
      <w:r w:rsidRPr="00C864C5">
        <w:rPr>
          <w:rFonts w:asciiTheme="minorBidi" w:hAnsiTheme="minorBidi" w:cstheme="minorBidi"/>
        </w:rPr>
        <w:t xml:space="preserve">, R. A., &amp; </w:t>
      </w:r>
      <w:proofErr w:type="spellStart"/>
      <w:r w:rsidRPr="00C864C5">
        <w:rPr>
          <w:rFonts w:asciiTheme="minorBidi" w:hAnsiTheme="minorBidi" w:cstheme="minorBidi"/>
        </w:rPr>
        <w:t>Bodart</w:t>
      </w:r>
      <w:proofErr w:type="spellEnd"/>
      <w:r w:rsidRPr="00C864C5">
        <w:rPr>
          <w:rFonts w:asciiTheme="minorBidi" w:hAnsiTheme="minorBidi" w:cstheme="minorBidi"/>
        </w:rPr>
        <w:t xml:space="preserve">, C. (2000). In T. </w:t>
      </w:r>
      <w:proofErr w:type="spellStart"/>
      <w:r w:rsidRPr="00C864C5">
        <w:rPr>
          <w:rFonts w:asciiTheme="minorBidi" w:hAnsiTheme="minorBidi" w:cstheme="minorBidi"/>
        </w:rPr>
        <w:t>Lippeveld</w:t>
      </w:r>
      <w:proofErr w:type="spellEnd"/>
      <w:r w:rsidRPr="00C864C5">
        <w:rPr>
          <w:rFonts w:asciiTheme="minorBidi" w:hAnsiTheme="minorBidi" w:cstheme="minorBidi"/>
        </w:rPr>
        <w:t xml:space="preserve">, R. </w:t>
      </w:r>
      <w:proofErr w:type="spellStart"/>
      <w:r w:rsidRPr="00C864C5">
        <w:rPr>
          <w:rFonts w:asciiTheme="minorBidi" w:hAnsiTheme="minorBidi" w:cstheme="minorBidi"/>
        </w:rPr>
        <w:t>Sauerborn</w:t>
      </w:r>
      <w:proofErr w:type="spellEnd"/>
      <w:r w:rsidRPr="00C864C5">
        <w:rPr>
          <w:rFonts w:asciiTheme="minorBidi" w:hAnsiTheme="minorBidi" w:cstheme="minorBidi"/>
        </w:rPr>
        <w:t xml:space="preserve">, &amp; C. </w:t>
      </w:r>
      <w:proofErr w:type="spellStart"/>
      <w:r w:rsidRPr="00C864C5">
        <w:rPr>
          <w:rFonts w:asciiTheme="minorBidi" w:hAnsiTheme="minorBidi" w:cstheme="minorBidi"/>
        </w:rPr>
        <w:t>Bodart</w:t>
      </w:r>
      <w:proofErr w:type="spellEnd"/>
      <w:r w:rsidRPr="00C864C5">
        <w:rPr>
          <w:rFonts w:asciiTheme="minorBidi" w:hAnsiTheme="minorBidi" w:cstheme="minorBidi"/>
        </w:rPr>
        <w:t xml:space="preserve"> (Eds.), Design and implementation of health information systems. Geneva: World Health Organization.</w:t>
      </w:r>
    </w:p>
    <w:p w14:paraId="516E9248" w14:textId="77777777" w:rsidR="0043339D" w:rsidRPr="00C864C5" w:rsidRDefault="0043339D" w:rsidP="004B7EF7">
      <w:pPr>
        <w:pStyle w:val="Default"/>
        <w:spacing w:line="360" w:lineRule="auto"/>
        <w:ind w:left="540" w:hanging="540"/>
        <w:jc w:val="both"/>
        <w:rPr>
          <w:rFonts w:asciiTheme="minorBidi" w:hAnsiTheme="minorBidi" w:cstheme="minorBidi"/>
          <w:i/>
          <w:iCs/>
          <w:sz w:val="22"/>
          <w:szCs w:val="22"/>
        </w:rPr>
      </w:pPr>
      <w:bookmarkStart w:id="175" w:name="_Hlk72936811"/>
      <w:proofErr w:type="spellStart"/>
      <w:r w:rsidRPr="00C864C5">
        <w:rPr>
          <w:rFonts w:asciiTheme="minorBidi" w:hAnsiTheme="minorBidi" w:cstheme="minorBidi"/>
          <w:i/>
          <w:iCs/>
          <w:sz w:val="22"/>
          <w:szCs w:val="22"/>
        </w:rPr>
        <w:t>Maani</w:t>
      </w:r>
      <w:bookmarkEnd w:id="175"/>
      <w:proofErr w:type="spellEnd"/>
      <w:r w:rsidRPr="00C864C5">
        <w:rPr>
          <w:rFonts w:asciiTheme="minorBidi" w:hAnsiTheme="minorBidi" w:cstheme="minorBidi"/>
          <w:i/>
          <w:iCs/>
          <w:sz w:val="22"/>
          <w:szCs w:val="22"/>
        </w:rPr>
        <w:t xml:space="preserve"> N, Abdalla SM, Galea S. Avoiding a legacy of unequal non-communicable disease burden after the COVID-19 pandemic. Lancet Diabetes Endocrinol. 2021;9(3):133-135. doi:10.1016/S2213-8587(21)00026-7</w:t>
      </w:r>
    </w:p>
    <w:p w14:paraId="19EEB3B1" w14:textId="6A2DD195" w:rsidR="0043339D" w:rsidRDefault="0043339D" w:rsidP="004B7EF7">
      <w:pPr>
        <w:pStyle w:val="Default"/>
        <w:spacing w:line="360" w:lineRule="auto"/>
        <w:ind w:left="540" w:hanging="540"/>
        <w:jc w:val="both"/>
        <w:rPr>
          <w:rFonts w:asciiTheme="minorBidi" w:hAnsiTheme="minorBidi" w:cstheme="minorBidi"/>
          <w:sz w:val="22"/>
          <w:szCs w:val="22"/>
        </w:rPr>
      </w:pPr>
      <w:proofErr w:type="spellStart"/>
      <w:r w:rsidRPr="00C864C5">
        <w:rPr>
          <w:rFonts w:asciiTheme="minorBidi" w:hAnsiTheme="minorBidi" w:cstheme="minorBidi"/>
          <w:i/>
          <w:iCs/>
          <w:sz w:val="22"/>
          <w:szCs w:val="22"/>
        </w:rPr>
        <w:lastRenderedPageBreak/>
        <w:t>Nason</w:t>
      </w:r>
      <w:proofErr w:type="spellEnd"/>
      <w:r w:rsidRPr="00C864C5">
        <w:rPr>
          <w:rFonts w:asciiTheme="minorBidi" w:hAnsiTheme="minorBidi" w:cstheme="minorBidi"/>
          <w:i/>
          <w:iCs/>
          <w:sz w:val="22"/>
          <w:szCs w:val="22"/>
        </w:rPr>
        <w:t xml:space="preserve"> </w:t>
      </w:r>
      <w:bookmarkStart w:id="176" w:name="_Hlk72418590"/>
      <w:proofErr w:type="spellStart"/>
      <w:r w:rsidRPr="00C864C5">
        <w:rPr>
          <w:rFonts w:asciiTheme="minorBidi" w:hAnsiTheme="minorBidi" w:cstheme="minorBidi"/>
          <w:i/>
          <w:iCs/>
          <w:sz w:val="22"/>
          <w:szCs w:val="22"/>
        </w:rPr>
        <w:t>Maani</w:t>
      </w:r>
      <w:bookmarkEnd w:id="176"/>
      <w:proofErr w:type="spellEnd"/>
      <w:r w:rsidRPr="00C864C5">
        <w:rPr>
          <w:rFonts w:asciiTheme="minorBidi" w:hAnsiTheme="minorBidi" w:cstheme="minorBidi"/>
          <w:i/>
          <w:iCs/>
          <w:sz w:val="22"/>
          <w:szCs w:val="22"/>
        </w:rPr>
        <w:t>, Salma M Abdalla, Sandro Galea.</w:t>
      </w:r>
      <w:r w:rsidRPr="00C864C5">
        <w:rPr>
          <w:rFonts w:asciiTheme="minorBidi" w:hAnsiTheme="minorBidi" w:cstheme="minorBidi"/>
          <w:sz w:val="22"/>
          <w:szCs w:val="22"/>
        </w:rPr>
        <w:t xml:space="preserve"> Avoiding a legacy of unequal non-communicable disease burden after the COVID-19 pandemic. Published </w:t>
      </w:r>
      <w:r w:rsidRPr="00C864C5">
        <w:rPr>
          <w:rFonts w:asciiTheme="minorBidi" w:hAnsiTheme="minorBidi" w:cstheme="minorBidi"/>
          <w:b/>
          <w:bCs/>
          <w:sz w:val="22"/>
          <w:szCs w:val="22"/>
        </w:rPr>
        <w:t xml:space="preserve">Online </w:t>
      </w:r>
      <w:r w:rsidRPr="00C864C5">
        <w:rPr>
          <w:rFonts w:asciiTheme="minorBidi" w:hAnsiTheme="minorBidi" w:cstheme="minorBidi"/>
          <w:sz w:val="22"/>
          <w:szCs w:val="22"/>
        </w:rPr>
        <w:t xml:space="preserve">February 4, </w:t>
      </w:r>
      <w:proofErr w:type="gramStart"/>
      <w:r w:rsidRPr="00C864C5">
        <w:rPr>
          <w:rFonts w:asciiTheme="minorBidi" w:hAnsiTheme="minorBidi" w:cstheme="minorBidi"/>
          <w:sz w:val="22"/>
          <w:szCs w:val="22"/>
        </w:rPr>
        <w:t>2021</w:t>
      </w:r>
      <w:proofErr w:type="gramEnd"/>
      <w:r w:rsidRPr="00C864C5">
        <w:rPr>
          <w:rFonts w:asciiTheme="minorBidi" w:hAnsiTheme="minorBidi" w:cstheme="minorBidi"/>
          <w:sz w:val="22"/>
          <w:szCs w:val="22"/>
        </w:rPr>
        <w:t xml:space="preserve"> https://doi.org/10.1016/ S2213-8587(21)00026-7.</w:t>
      </w:r>
    </w:p>
    <w:p w14:paraId="7ACE3EDB" w14:textId="54C1CD5F" w:rsidR="008E13C5" w:rsidRPr="00C864C5" w:rsidRDefault="008E13C5" w:rsidP="004B7EF7">
      <w:pPr>
        <w:pStyle w:val="Default"/>
        <w:spacing w:line="360" w:lineRule="auto"/>
        <w:ind w:left="540" w:hanging="540"/>
        <w:jc w:val="both"/>
        <w:rPr>
          <w:rFonts w:asciiTheme="minorBidi" w:hAnsiTheme="minorBidi" w:cstheme="minorBidi"/>
          <w:sz w:val="22"/>
          <w:szCs w:val="22"/>
        </w:rPr>
      </w:pPr>
      <w:r w:rsidRPr="008E13C5">
        <w:rPr>
          <w:rFonts w:asciiTheme="minorBidi" w:hAnsiTheme="minorBidi" w:cstheme="minorBidi"/>
          <w:sz w:val="22"/>
          <w:szCs w:val="22"/>
        </w:rPr>
        <w:t>Oakes JM, Rossi PH. The measurement of SES in health research: current practice and steps toward a new approach. Soc Sci Med. 2003;56(4):769–84.</w:t>
      </w:r>
    </w:p>
    <w:p w14:paraId="7570577A" w14:textId="77777777" w:rsidR="0043339D" w:rsidRPr="00C864C5" w:rsidRDefault="0043339D" w:rsidP="004B7EF7">
      <w:pPr>
        <w:pStyle w:val="Bibliography"/>
        <w:spacing w:after="0" w:line="360" w:lineRule="auto"/>
        <w:ind w:left="540" w:hanging="540"/>
        <w:jc w:val="both"/>
        <w:rPr>
          <w:rFonts w:asciiTheme="minorBidi" w:hAnsiTheme="minorBidi"/>
        </w:rPr>
      </w:pPr>
      <w:proofErr w:type="spellStart"/>
      <w:r w:rsidRPr="00C864C5">
        <w:rPr>
          <w:rFonts w:asciiTheme="minorBidi" w:hAnsiTheme="minorBidi"/>
        </w:rPr>
        <w:t>Odekunle</w:t>
      </w:r>
      <w:proofErr w:type="spellEnd"/>
      <w:r w:rsidRPr="00C864C5">
        <w:rPr>
          <w:rFonts w:asciiTheme="minorBidi" w:hAnsiTheme="minorBidi"/>
        </w:rPr>
        <w:t xml:space="preserve"> FF, </w:t>
      </w:r>
      <w:proofErr w:type="spellStart"/>
      <w:r w:rsidRPr="00C864C5">
        <w:rPr>
          <w:rFonts w:asciiTheme="minorBidi" w:hAnsiTheme="minorBidi"/>
        </w:rPr>
        <w:t>Odekunle</w:t>
      </w:r>
      <w:proofErr w:type="spellEnd"/>
      <w:r w:rsidRPr="00C864C5">
        <w:rPr>
          <w:rFonts w:asciiTheme="minorBidi" w:hAnsiTheme="minorBidi"/>
        </w:rPr>
        <w:t xml:space="preserve"> RO, Shankar S. Why sub-Saharan Africa lags in electronic health record adoption and possible strategies to increase its adoption in this region. </w:t>
      </w:r>
      <w:r w:rsidRPr="00C864C5">
        <w:rPr>
          <w:rFonts w:asciiTheme="minorBidi" w:hAnsiTheme="minorBidi"/>
          <w:i/>
          <w:iCs/>
        </w:rPr>
        <w:t>Int J Health Sci</w:t>
      </w:r>
      <w:r w:rsidRPr="00C864C5">
        <w:rPr>
          <w:rFonts w:asciiTheme="minorBidi" w:hAnsiTheme="minorBidi"/>
        </w:rPr>
        <w:t>. 2017;11(4):59-64.</w:t>
      </w:r>
    </w:p>
    <w:p w14:paraId="71D8DCC7"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O’Donnell O, van </w:t>
      </w:r>
      <w:proofErr w:type="spellStart"/>
      <w:r w:rsidRPr="00C864C5">
        <w:rPr>
          <w:rFonts w:asciiTheme="minorBidi" w:hAnsiTheme="minorBidi" w:cstheme="minorBidi"/>
        </w:rPr>
        <w:t>Doorslaer</w:t>
      </w:r>
      <w:proofErr w:type="spellEnd"/>
      <w:r w:rsidRPr="00C864C5">
        <w:rPr>
          <w:rFonts w:asciiTheme="minorBidi" w:hAnsiTheme="minorBidi" w:cstheme="minorBidi"/>
        </w:rPr>
        <w:t xml:space="preserve"> E, Wagstaff A, </w:t>
      </w:r>
      <w:proofErr w:type="spellStart"/>
      <w:r w:rsidRPr="00C864C5">
        <w:rPr>
          <w:rFonts w:asciiTheme="minorBidi" w:hAnsiTheme="minorBidi" w:cstheme="minorBidi"/>
        </w:rPr>
        <w:t>Lindelow</w:t>
      </w:r>
      <w:proofErr w:type="spellEnd"/>
      <w:r w:rsidRPr="00C864C5">
        <w:rPr>
          <w:rFonts w:asciiTheme="minorBidi" w:hAnsiTheme="minorBidi" w:cstheme="minorBidi"/>
        </w:rPr>
        <w:t xml:space="preserve"> M. Analyzing Health Equity Using Household Survey Data: A Guide to Techniques and Their Implementation. Washington, DC: World Bank, 2008. </w:t>
      </w:r>
    </w:p>
    <w:p w14:paraId="279AA911" w14:textId="77777777" w:rsidR="0043339D" w:rsidRPr="00C864C5" w:rsidRDefault="0043339D" w:rsidP="004B7EF7">
      <w:pPr>
        <w:pStyle w:val="Bibliography"/>
        <w:spacing w:after="0" w:line="360" w:lineRule="auto"/>
        <w:ind w:left="540" w:hanging="540"/>
        <w:jc w:val="both"/>
        <w:rPr>
          <w:rFonts w:asciiTheme="minorBidi" w:hAnsiTheme="minorBidi"/>
        </w:rPr>
      </w:pPr>
      <w:bookmarkStart w:id="177" w:name="_Hlk72421328"/>
      <w:proofErr w:type="spellStart"/>
      <w:r w:rsidRPr="00C864C5">
        <w:rPr>
          <w:rFonts w:asciiTheme="minorBidi" w:hAnsiTheme="minorBidi"/>
          <w:lang w:val="fr-FR"/>
        </w:rPr>
        <w:t>Ohuabunwa</w:t>
      </w:r>
      <w:bookmarkEnd w:id="177"/>
      <w:proofErr w:type="spellEnd"/>
      <w:r w:rsidRPr="00C864C5">
        <w:rPr>
          <w:rFonts w:asciiTheme="minorBidi" w:hAnsiTheme="minorBidi"/>
          <w:lang w:val="fr-FR"/>
        </w:rPr>
        <w:t xml:space="preserve"> EC, Sun J, Jean </w:t>
      </w:r>
      <w:proofErr w:type="spellStart"/>
      <w:r w:rsidRPr="00C864C5">
        <w:rPr>
          <w:rFonts w:asciiTheme="minorBidi" w:hAnsiTheme="minorBidi"/>
          <w:lang w:val="fr-FR"/>
        </w:rPr>
        <w:t>Jubanyik</w:t>
      </w:r>
      <w:proofErr w:type="spellEnd"/>
      <w:r w:rsidRPr="00C864C5">
        <w:rPr>
          <w:rFonts w:asciiTheme="minorBidi" w:hAnsiTheme="minorBidi"/>
          <w:lang w:val="fr-FR"/>
        </w:rPr>
        <w:t xml:space="preserve"> K, Wallis LA. </w:t>
      </w:r>
      <w:r w:rsidRPr="00C864C5">
        <w:rPr>
          <w:rFonts w:asciiTheme="minorBidi" w:hAnsiTheme="minorBidi"/>
        </w:rPr>
        <w:t xml:space="preserve">Electronic Medical Records in low to middle income countries: The case of Khayelitsha Hospital, South Africa. </w:t>
      </w:r>
      <w:proofErr w:type="spellStart"/>
      <w:r w:rsidRPr="00C864C5">
        <w:rPr>
          <w:rFonts w:asciiTheme="minorBidi" w:hAnsiTheme="minorBidi"/>
          <w:i/>
          <w:iCs/>
        </w:rPr>
        <w:t>Afr</w:t>
      </w:r>
      <w:proofErr w:type="spellEnd"/>
      <w:r w:rsidRPr="00C864C5">
        <w:rPr>
          <w:rFonts w:asciiTheme="minorBidi" w:hAnsiTheme="minorBidi"/>
          <w:i/>
          <w:iCs/>
        </w:rPr>
        <w:t xml:space="preserve"> J </w:t>
      </w:r>
      <w:proofErr w:type="spellStart"/>
      <w:r w:rsidRPr="00C864C5">
        <w:rPr>
          <w:rFonts w:asciiTheme="minorBidi" w:hAnsiTheme="minorBidi"/>
          <w:i/>
          <w:iCs/>
        </w:rPr>
        <w:t>Emerg</w:t>
      </w:r>
      <w:proofErr w:type="spellEnd"/>
      <w:r w:rsidRPr="00C864C5">
        <w:rPr>
          <w:rFonts w:asciiTheme="minorBidi" w:hAnsiTheme="minorBidi"/>
          <w:i/>
          <w:iCs/>
        </w:rPr>
        <w:t xml:space="preserve"> Med</w:t>
      </w:r>
      <w:r w:rsidRPr="00C864C5">
        <w:rPr>
          <w:rFonts w:asciiTheme="minorBidi" w:hAnsiTheme="minorBidi"/>
        </w:rPr>
        <w:t xml:space="preserve">. 2016;6(1):38-43. </w:t>
      </w:r>
      <w:proofErr w:type="gramStart"/>
      <w:r w:rsidRPr="00C864C5">
        <w:rPr>
          <w:rFonts w:asciiTheme="minorBidi" w:hAnsiTheme="minorBidi"/>
        </w:rPr>
        <w:t>doi:10.1016/j.afjem</w:t>
      </w:r>
      <w:proofErr w:type="gramEnd"/>
      <w:r w:rsidRPr="00C864C5">
        <w:rPr>
          <w:rFonts w:asciiTheme="minorBidi" w:hAnsiTheme="minorBidi"/>
        </w:rPr>
        <w:t>.2015.06.003.</w:t>
      </w:r>
    </w:p>
    <w:p w14:paraId="7354C4DE" w14:textId="007A0A33" w:rsidR="0043339D" w:rsidRDefault="0043339D" w:rsidP="004B7EF7">
      <w:pPr>
        <w:pStyle w:val="Default"/>
        <w:spacing w:line="360" w:lineRule="auto"/>
        <w:ind w:left="540" w:hanging="540"/>
        <w:jc w:val="both"/>
        <w:rPr>
          <w:rFonts w:asciiTheme="minorBidi" w:hAnsiTheme="minorBidi" w:cstheme="minorBidi"/>
          <w:color w:val="434343"/>
          <w:sz w:val="22"/>
          <w:szCs w:val="22"/>
          <w:shd w:val="clear" w:color="auto" w:fill="FFFFFF"/>
        </w:rPr>
      </w:pPr>
      <w:proofErr w:type="spellStart"/>
      <w:r w:rsidRPr="00C864C5">
        <w:rPr>
          <w:rFonts w:asciiTheme="minorBidi" w:hAnsiTheme="minorBidi" w:cstheme="minorBidi"/>
          <w:color w:val="434343"/>
          <w:sz w:val="22"/>
          <w:szCs w:val="22"/>
          <w:shd w:val="clear" w:color="auto" w:fill="FFFFFF"/>
        </w:rPr>
        <w:t>Okonjo</w:t>
      </w:r>
      <w:proofErr w:type="spellEnd"/>
      <w:r w:rsidRPr="00C864C5">
        <w:rPr>
          <w:rFonts w:ascii="Cambria Math" w:hAnsi="Cambria Math" w:cs="Cambria Math"/>
          <w:color w:val="434343"/>
          <w:sz w:val="22"/>
          <w:szCs w:val="22"/>
          <w:shd w:val="clear" w:color="auto" w:fill="FFFFFF"/>
        </w:rPr>
        <w:t>‐</w:t>
      </w:r>
      <w:r w:rsidRPr="00C864C5">
        <w:rPr>
          <w:rFonts w:asciiTheme="minorBidi" w:hAnsiTheme="minorBidi" w:cstheme="minorBidi"/>
          <w:color w:val="434343"/>
          <w:sz w:val="22"/>
          <w:szCs w:val="22"/>
          <w:shd w:val="clear" w:color="auto" w:fill="FFFFFF"/>
        </w:rPr>
        <w:t xml:space="preserve">Iweala, N., &amp; </w:t>
      </w:r>
      <w:proofErr w:type="spellStart"/>
      <w:r w:rsidRPr="00C864C5">
        <w:rPr>
          <w:rFonts w:asciiTheme="minorBidi" w:hAnsiTheme="minorBidi" w:cstheme="minorBidi"/>
          <w:color w:val="434343"/>
          <w:sz w:val="22"/>
          <w:szCs w:val="22"/>
          <w:shd w:val="clear" w:color="auto" w:fill="FFFFFF"/>
        </w:rPr>
        <w:t>Osafo</w:t>
      </w:r>
      <w:r w:rsidRPr="00C864C5">
        <w:rPr>
          <w:rFonts w:ascii="Cambria Math" w:hAnsi="Cambria Math" w:cs="Cambria Math"/>
          <w:color w:val="434343"/>
          <w:sz w:val="22"/>
          <w:szCs w:val="22"/>
          <w:shd w:val="clear" w:color="auto" w:fill="FFFFFF"/>
        </w:rPr>
        <w:t>‐</w:t>
      </w:r>
      <w:r w:rsidRPr="00C864C5">
        <w:rPr>
          <w:rFonts w:asciiTheme="minorBidi" w:hAnsiTheme="minorBidi" w:cstheme="minorBidi"/>
          <w:color w:val="434343"/>
          <w:sz w:val="22"/>
          <w:szCs w:val="22"/>
          <w:shd w:val="clear" w:color="auto" w:fill="FFFFFF"/>
        </w:rPr>
        <w:t>Kwaako</w:t>
      </w:r>
      <w:proofErr w:type="spellEnd"/>
      <w:r w:rsidRPr="00C864C5">
        <w:rPr>
          <w:rFonts w:asciiTheme="minorBidi" w:hAnsiTheme="minorBidi" w:cstheme="minorBidi"/>
          <w:color w:val="434343"/>
          <w:sz w:val="22"/>
          <w:szCs w:val="22"/>
          <w:shd w:val="clear" w:color="auto" w:fill="FFFFFF"/>
        </w:rPr>
        <w:t>, P. (2007). Improving health statistics in Africa. Lancet, 370, 1527–1528.</w:t>
      </w:r>
    </w:p>
    <w:p w14:paraId="64E5EBB1" w14:textId="0318C20B" w:rsidR="00A42EDC" w:rsidRPr="00C864C5" w:rsidRDefault="00A42EDC" w:rsidP="004B7EF7">
      <w:pPr>
        <w:pStyle w:val="Default"/>
        <w:spacing w:line="360" w:lineRule="auto"/>
        <w:ind w:left="540" w:hanging="540"/>
        <w:jc w:val="both"/>
        <w:rPr>
          <w:rFonts w:asciiTheme="minorBidi" w:hAnsiTheme="minorBidi" w:cstheme="minorBidi"/>
          <w:color w:val="434343"/>
          <w:sz w:val="22"/>
          <w:szCs w:val="22"/>
          <w:shd w:val="clear" w:color="auto" w:fill="FFFFFF"/>
        </w:rPr>
      </w:pPr>
      <w:r w:rsidRPr="00A42EDC">
        <w:rPr>
          <w:rFonts w:asciiTheme="minorBidi" w:hAnsiTheme="minorBidi" w:cstheme="minorBidi"/>
          <w:color w:val="434343"/>
          <w:sz w:val="22"/>
          <w:szCs w:val="22"/>
          <w:shd w:val="clear" w:color="auto" w:fill="FFFFFF"/>
        </w:rPr>
        <w:t>Ontario Agency for Health Protection and Promotion (Public Health Ontario). Summary measures of socioeconomic inequalities in health. Toronto, ON: Queen’s Printer for Ontario; 2013. Available at https://www.publichealthontario.ca/-/media/documents/S/2013/socioeconomic-inequality-measures.pdf</w:t>
      </w:r>
    </w:p>
    <w:p w14:paraId="161174BC" w14:textId="77777777" w:rsidR="0043339D" w:rsidRPr="00C864C5" w:rsidRDefault="0043339D" w:rsidP="004B7EF7">
      <w:pPr>
        <w:ind w:left="540" w:hanging="540"/>
        <w:rPr>
          <w:rFonts w:asciiTheme="minorBidi" w:hAnsiTheme="minorBidi" w:cstheme="minorBidi"/>
        </w:rPr>
      </w:pPr>
      <w:bookmarkStart w:id="178" w:name="_Hlk72847848"/>
      <w:proofErr w:type="spellStart"/>
      <w:r w:rsidRPr="00C864C5">
        <w:rPr>
          <w:rFonts w:asciiTheme="minorBidi" w:hAnsiTheme="minorBidi" w:cstheme="minorBidi"/>
        </w:rPr>
        <w:t>Pampalon</w:t>
      </w:r>
      <w:proofErr w:type="spellEnd"/>
      <w:r w:rsidRPr="00C864C5">
        <w:rPr>
          <w:rFonts w:asciiTheme="minorBidi" w:hAnsiTheme="minorBidi" w:cstheme="minorBidi"/>
        </w:rPr>
        <w:t xml:space="preserve"> </w:t>
      </w:r>
      <w:bookmarkEnd w:id="178"/>
      <w:r w:rsidRPr="00C864C5">
        <w:rPr>
          <w:rFonts w:asciiTheme="minorBidi" w:hAnsiTheme="minorBidi" w:cstheme="minorBidi"/>
        </w:rPr>
        <w:t xml:space="preserve">R, Hamel D, Gamache P. A comparison of individual and area-based socio-economic data for monitoring social inequalities in health. Health Rep. 2009;20(4):85–94. </w:t>
      </w:r>
    </w:p>
    <w:p w14:paraId="36B7FBFB" w14:textId="77777777" w:rsidR="0043339D" w:rsidRPr="00C864C5" w:rsidRDefault="0043339D" w:rsidP="004B7EF7">
      <w:pPr>
        <w:pStyle w:val="Default"/>
        <w:spacing w:line="360" w:lineRule="auto"/>
        <w:ind w:left="540" w:hanging="540"/>
        <w:jc w:val="both"/>
        <w:rPr>
          <w:rFonts w:asciiTheme="minorBidi" w:hAnsiTheme="minorBidi" w:cstheme="minorBidi"/>
          <w:color w:val="434343"/>
          <w:sz w:val="22"/>
          <w:szCs w:val="22"/>
          <w:shd w:val="clear" w:color="auto" w:fill="FFFFFF"/>
        </w:rPr>
      </w:pPr>
      <w:proofErr w:type="spellStart"/>
      <w:r w:rsidRPr="00C864C5">
        <w:rPr>
          <w:rFonts w:asciiTheme="minorBidi" w:hAnsiTheme="minorBidi" w:cstheme="minorBidi"/>
          <w:color w:val="434343"/>
          <w:sz w:val="22"/>
          <w:szCs w:val="22"/>
          <w:shd w:val="clear" w:color="auto" w:fill="FFFFFF"/>
        </w:rPr>
        <w:t>Pundo</w:t>
      </w:r>
      <w:proofErr w:type="spellEnd"/>
      <w:r w:rsidRPr="00C864C5">
        <w:rPr>
          <w:rFonts w:asciiTheme="minorBidi" w:hAnsiTheme="minorBidi" w:cstheme="minorBidi"/>
          <w:color w:val="434343"/>
          <w:sz w:val="22"/>
          <w:szCs w:val="22"/>
          <w:shd w:val="clear" w:color="auto" w:fill="FFFFFF"/>
        </w:rPr>
        <w:t xml:space="preserve">, R., </w:t>
      </w:r>
      <w:proofErr w:type="spellStart"/>
      <w:r w:rsidRPr="00C864C5">
        <w:rPr>
          <w:rFonts w:asciiTheme="minorBidi" w:hAnsiTheme="minorBidi" w:cstheme="minorBidi"/>
          <w:color w:val="434343"/>
          <w:sz w:val="22"/>
          <w:szCs w:val="22"/>
          <w:shd w:val="clear" w:color="auto" w:fill="FFFFFF"/>
        </w:rPr>
        <w:t>Manya</w:t>
      </w:r>
      <w:proofErr w:type="spellEnd"/>
      <w:r w:rsidRPr="00C864C5">
        <w:rPr>
          <w:rFonts w:asciiTheme="minorBidi" w:hAnsiTheme="minorBidi" w:cstheme="minorBidi"/>
          <w:color w:val="434343"/>
          <w:sz w:val="22"/>
          <w:szCs w:val="22"/>
          <w:shd w:val="clear" w:color="auto" w:fill="FFFFFF"/>
        </w:rPr>
        <w:t xml:space="preserve">, A., Mburu, E., &amp; </w:t>
      </w:r>
      <w:proofErr w:type="spellStart"/>
      <w:r w:rsidRPr="00C864C5">
        <w:rPr>
          <w:rFonts w:asciiTheme="minorBidi" w:hAnsiTheme="minorBidi" w:cstheme="minorBidi"/>
          <w:color w:val="434343"/>
          <w:sz w:val="22"/>
          <w:szCs w:val="22"/>
          <w:shd w:val="clear" w:color="auto" w:fill="FFFFFF"/>
        </w:rPr>
        <w:t>Braa</w:t>
      </w:r>
      <w:proofErr w:type="spellEnd"/>
      <w:r w:rsidRPr="00C864C5">
        <w:rPr>
          <w:rFonts w:asciiTheme="minorBidi" w:hAnsiTheme="minorBidi" w:cstheme="minorBidi"/>
          <w:color w:val="434343"/>
          <w:sz w:val="22"/>
          <w:szCs w:val="22"/>
          <w:shd w:val="clear" w:color="auto" w:fill="FFFFFF"/>
        </w:rPr>
        <w:t>, J. (2013). The consistency and concurrency between the Kenya HIV/AIDS Program Monitoring System (</w:t>
      </w:r>
      <w:proofErr w:type="spellStart"/>
      <w:r w:rsidRPr="00C864C5">
        <w:rPr>
          <w:rFonts w:asciiTheme="minorBidi" w:hAnsiTheme="minorBidi" w:cstheme="minorBidi"/>
          <w:color w:val="434343"/>
          <w:sz w:val="22"/>
          <w:szCs w:val="22"/>
          <w:shd w:val="clear" w:color="auto" w:fill="FFFFFF"/>
        </w:rPr>
        <w:t>KePMs</w:t>
      </w:r>
      <w:proofErr w:type="spellEnd"/>
      <w:r w:rsidRPr="00C864C5">
        <w:rPr>
          <w:rFonts w:asciiTheme="minorBidi" w:hAnsiTheme="minorBidi" w:cstheme="minorBidi"/>
          <w:color w:val="434343"/>
          <w:sz w:val="22"/>
          <w:szCs w:val="22"/>
          <w:shd w:val="clear" w:color="auto" w:fill="FFFFFF"/>
        </w:rPr>
        <w:t xml:space="preserve">) and the National Reporting System (DHIS2), 2012. In: 8th Health Informatics in Africa Conference (HELINA 2013). </w:t>
      </w:r>
      <w:proofErr w:type="spellStart"/>
      <w:proofErr w:type="gramStart"/>
      <w:r w:rsidRPr="00C864C5">
        <w:rPr>
          <w:rFonts w:asciiTheme="minorBidi" w:hAnsiTheme="minorBidi" w:cstheme="minorBidi"/>
          <w:color w:val="434343"/>
          <w:sz w:val="22"/>
          <w:szCs w:val="22"/>
          <w:shd w:val="clear" w:color="auto" w:fill="FFFFFF"/>
        </w:rPr>
        <w:t>doi:https</w:t>
      </w:r>
      <w:proofErr w:type="spellEnd"/>
      <w:r w:rsidRPr="00C864C5">
        <w:rPr>
          <w:rFonts w:asciiTheme="minorBidi" w:hAnsiTheme="minorBidi" w:cstheme="minorBidi"/>
          <w:color w:val="434343"/>
          <w:sz w:val="22"/>
          <w:szCs w:val="22"/>
          <w:shd w:val="clear" w:color="auto" w:fill="FFFFFF"/>
        </w:rPr>
        <w:t>://doi.org/10.12856/JHIA</w:t>
      </w:r>
      <w:proofErr w:type="gramEnd"/>
      <w:r w:rsidRPr="00C864C5">
        <w:rPr>
          <w:rFonts w:ascii="Cambria Math" w:hAnsi="Cambria Math" w:cs="Cambria Math"/>
          <w:color w:val="434343"/>
          <w:sz w:val="22"/>
          <w:szCs w:val="22"/>
          <w:shd w:val="clear" w:color="auto" w:fill="FFFFFF"/>
        </w:rPr>
        <w:t>‐</w:t>
      </w:r>
      <w:r w:rsidRPr="00C864C5">
        <w:rPr>
          <w:rFonts w:asciiTheme="minorBidi" w:hAnsiTheme="minorBidi" w:cstheme="minorBidi"/>
          <w:color w:val="434343"/>
          <w:sz w:val="22"/>
          <w:szCs w:val="22"/>
          <w:shd w:val="clear" w:color="auto" w:fill="FFFFFF"/>
        </w:rPr>
        <w:t>2013</w:t>
      </w:r>
      <w:r w:rsidRPr="00C864C5">
        <w:rPr>
          <w:rFonts w:ascii="Cambria Math" w:hAnsi="Cambria Math" w:cs="Cambria Math"/>
          <w:color w:val="434343"/>
          <w:sz w:val="22"/>
          <w:szCs w:val="22"/>
          <w:shd w:val="clear" w:color="auto" w:fill="FFFFFF"/>
        </w:rPr>
        <w:t>‐</w:t>
      </w:r>
      <w:r w:rsidRPr="00C864C5">
        <w:rPr>
          <w:rFonts w:asciiTheme="minorBidi" w:hAnsiTheme="minorBidi" w:cstheme="minorBidi"/>
          <w:color w:val="434343"/>
          <w:sz w:val="22"/>
          <w:szCs w:val="22"/>
          <w:shd w:val="clear" w:color="auto" w:fill="FFFFFF"/>
        </w:rPr>
        <w:t>v1</w:t>
      </w:r>
      <w:r w:rsidRPr="00C864C5">
        <w:rPr>
          <w:rFonts w:ascii="Cambria Math" w:hAnsi="Cambria Math" w:cs="Cambria Math"/>
          <w:color w:val="434343"/>
          <w:sz w:val="22"/>
          <w:szCs w:val="22"/>
          <w:shd w:val="clear" w:color="auto" w:fill="FFFFFF"/>
        </w:rPr>
        <w:t>‐</w:t>
      </w:r>
      <w:r w:rsidRPr="00C864C5">
        <w:rPr>
          <w:rFonts w:asciiTheme="minorBidi" w:hAnsiTheme="minorBidi" w:cstheme="minorBidi"/>
          <w:color w:val="434343"/>
          <w:sz w:val="22"/>
          <w:szCs w:val="22"/>
          <w:shd w:val="clear" w:color="auto" w:fill="FFFFFF"/>
        </w:rPr>
        <w:t>i1</w:t>
      </w:r>
      <w:r w:rsidRPr="00C864C5">
        <w:rPr>
          <w:rFonts w:ascii="Cambria Math" w:hAnsi="Cambria Math" w:cs="Cambria Math"/>
          <w:color w:val="434343"/>
          <w:sz w:val="22"/>
          <w:szCs w:val="22"/>
          <w:shd w:val="clear" w:color="auto" w:fill="FFFFFF"/>
        </w:rPr>
        <w:t>‐</w:t>
      </w:r>
      <w:r w:rsidRPr="00C864C5">
        <w:rPr>
          <w:rFonts w:asciiTheme="minorBidi" w:hAnsiTheme="minorBidi" w:cstheme="minorBidi"/>
          <w:color w:val="434343"/>
          <w:sz w:val="22"/>
          <w:szCs w:val="22"/>
          <w:shd w:val="clear" w:color="auto" w:fill="FFFFFF"/>
        </w:rPr>
        <w:t>56.</w:t>
      </w:r>
    </w:p>
    <w:p w14:paraId="4B4AA20D"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Rashad, H., Shawky S., and Khadr Z. (2019) “Reproductive Health Equity in the Arab Region: Fairness and Social Success” Regional Study; The Social Research Center, The American University in Cairo, UNFPA/ASRO. https://documents.aucegypt.edu/Docs/src/Reproductive-Health-%20Equity-in-the-Arab-Region.pdf</w:t>
      </w:r>
    </w:p>
    <w:p w14:paraId="0937ACB6"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Sahay S, </w:t>
      </w:r>
      <w:proofErr w:type="spellStart"/>
      <w:r w:rsidRPr="00C864C5">
        <w:rPr>
          <w:rFonts w:asciiTheme="minorBidi" w:hAnsiTheme="minorBidi" w:cstheme="minorBidi"/>
        </w:rPr>
        <w:t>Rashidian</w:t>
      </w:r>
      <w:proofErr w:type="spellEnd"/>
      <w:r w:rsidRPr="00C864C5">
        <w:rPr>
          <w:rFonts w:asciiTheme="minorBidi" w:hAnsiTheme="minorBidi" w:cstheme="minorBidi"/>
        </w:rPr>
        <w:t xml:space="preserve"> A, Doctor HV. Challenges and opportunities of using DHIS2 to strengthen health information systems in the Eastern Mediterranean Region: A regional approach. E J Info Sys Dev Countries. 2020: </w:t>
      </w:r>
      <w:proofErr w:type="gramStart"/>
      <w:r w:rsidRPr="00C864C5">
        <w:rPr>
          <w:rFonts w:asciiTheme="minorBidi" w:hAnsiTheme="minorBidi" w:cstheme="minorBidi"/>
        </w:rPr>
        <w:t>86;e</w:t>
      </w:r>
      <w:proofErr w:type="gramEnd"/>
      <w:r w:rsidRPr="00C864C5">
        <w:rPr>
          <w:rFonts w:asciiTheme="minorBidi" w:hAnsiTheme="minorBidi" w:cstheme="minorBidi"/>
        </w:rPr>
        <w:t>12108. https://doi.org/10.1002/isd2.12108.</w:t>
      </w:r>
    </w:p>
    <w:p w14:paraId="37E96961"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lastRenderedPageBreak/>
        <w:t>Savigny, D., &amp; Adam, T. (Eds.) (2009). Systems thinking for health systems strengthening. Alliance for health policy and systems research. Geneva, Switzerland: World Health Organization.</w:t>
      </w:r>
    </w:p>
    <w:p w14:paraId="107C8EF9" w14:textId="77777777" w:rsidR="0043339D" w:rsidRPr="00C864C5" w:rsidRDefault="0043339D" w:rsidP="004B7EF7">
      <w:pPr>
        <w:tabs>
          <w:tab w:val="left" w:pos="6750"/>
        </w:tabs>
        <w:ind w:left="540" w:hanging="540"/>
        <w:rPr>
          <w:rFonts w:asciiTheme="minorBidi" w:hAnsiTheme="minorBidi" w:cstheme="minorBidi"/>
        </w:rPr>
      </w:pPr>
      <w:bookmarkStart w:id="179" w:name="_Hlk72946458"/>
      <w:proofErr w:type="spellStart"/>
      <w:r w:rsidRPr="00C864C5">
        <w:rPr>
          <w:rFonts w:asciiTheme="minorBidi" w:hAnsiTheme="minorBidi" w:cstheme="minorBidi"/>
        </w:rPr>
        <w:t>Schrecker</w:t>
      </w:r>
      <w:proofErr w:type="spellEnd"/>
      <w:r w:rsidRPr="00C864C5">
        <w:rPr>
          <w:rFonts w:asciiTheme="minorBidi" w:hAnsiTheme="minorBidi" w:cstheme="minorBidi"/>
        </w:rPr>
        <w:t xml:space="preserve"> T, Bambra </w:t>
      </w:r>
      <w:bookmarkEnd w:id="179"/>
      <w:r w:rsidRPr="00C864C5">
        <w:rPr>
          <w:rFonts w:asciiTheme="minorBidi" w:hAnsiTheme="minorBidi" w:cstheme="minorBidi"/>
        </w:rPr>
        <w:t>C. How Politics Makes Us Sick: Neoliberal Epidemics. London: Palgrave Macmillan; 2015. https://doi.org/10.1057/9781137463074</w:t>
      </w:r>
    </w:p>
    <w:p w14:paraId="1585AD0B" w14:textId="77777777" w:rsidR="0043339D" w:rsidRPr="00C864C5" w:rsidRDefault="0043339D" w:rsidP="004B7EF7">
      <w:pPr>
        <w:tabs>
          <w:tab w:val="left" w:pos="6750"/>
        </w:tabs>
        <w:ind w:left="540" w:hanging="540"/>
        <w:rPr>
          <w:rFonts w:asciiTheme="minorBidi" w:hAnsiTheme="minorBidi" w:cstheme="minorBidi"/>
        </w:rPr>
      </w:pPr>
      <w:r w:rsidRPr="00C864C5">
        <w:rPr>
          <w:rFonts w:asciiTheme="minorBidi" w:hAnsiTheme="minorBidi" w:cstheme="minorBidi"/>
        </w:rPr>
        <w:t xml:space="preserve">Shawky S 2018. Measuring Geographic and Wealth Inequalities in Health Distribution as Tools for Identifying Priority Health Inequalities and the Underprivileged Populations. Global Advances in Health and Medicine 2018: Volume 7: 1–10. Available at </w:t>
      </w:r>
      <w:hyperlink r:id="rId20" w:history="1">
        <w:r w:rsidRPr="00C864C5">
          <w:rPr>
            <w:rStyle w:val="Hyperlink"/>
            <w:rFonts w:asciiTheme="minorBidi" w:hAnsiTheme="minorBidi" w:cstheme="minorBidi"/>
          </w:rPr>
          <w:t>https://journals.sagepub.com/doi/pdf/10.1177/2164956118791955</w:t>
        </w:r>
      </w:hyperlink>
      <w:r w:rsidRPr="00C864C5">
        <w:rPr>
          <w:rFonts w:asciiTheme="minorBidi" w:hAnsiTheme="minorBidi" w:cstheme="minorBidi"/>
        </w:rPr>
        <w:t>.</w:t>
      </w:r>
    </w:p>
    <w:p w14:paraId="444C3685" w14:textId="77777777" w:rsidR="0043339D" w:rsidRPr="00C864C5" w:rsidRDefault="0043339D" w:rsidP="004B7EF7">
      <w:pPr>
        <w:tabs>
          <w:tab w:val="left" w:pos="6750"/>
        </w:tabs>
        <w:ind w:left="540" w:hanging="540"/>
        <w:rPr>
          <w:rFonts w:asciiTheme="minorBidi" w:hAnsiTheme="minorBidi" w:cstheme="minorBidi"/>
        </w:rPr>
      </w:pPr>
      <w:r w:rsidRPr="00C864C5">
        <w:rPr>
          <w:rFonts w:asciiTheme="minorBidi" w:hAnsiTheme="minorBidi" w:cstheme="minorBidi"/>
        </w:rPr>
        <w:t xml:space="preserve">Shawky S, Rashad HM, Khadr ZA, </w:t>
      </w:r>
      <w:proofErr w:type="spellStart"/>
      <w:r w:rsidRPr="00C864C5">
        <w:rPr>
          <w:rFonts w:asciiTheme="minorBidi" w:hAnsiTheme="minorBidi" w:cstheme="minorBidi"/>
        </w:rPr>
        <w:t>Sahbani</w:t>
      </w:r>
      <w:proofErr w:type="spellEnd"/>
      <w:r w:rsidRPr="00C864C5">
        <w:rPr>
          <w:rFonts w:asciiTheme="minorBidi" w:hAnsiTheme="minorBidi" w:cstheme="minorBidi"/>
        </w:rPr>
        <w:t xml:space="preserve"> S, Afifi MA. A methodology for investigating and addressing sexual and reproductive health inequities in the sustainable development agenda. SDH. </w:t>
      </w:r>
      <w:proofErr w:type="gramStart"/>
      <w:r w:rsidRPr="00C864C5">
        <w:rPr>
          <w:rFonts w:asciiTheme="minorBidi" w:hAnsiTheme="minorBidi" w:cstheme="minorBidi"/>
        </w:rPr>
        <w:t>2020;e</w:t>
      </w:r>
      <w:proofErr w:type="gramEnd"/>
      <w:r w:rsidRPr="00C864C5">
        <w:rPr>
          <w:rFonts w:asciiTheme="minorBidi" w:hAnsiTheme="minorBidi" w:cstheme="minorBidi"/>
        </w:rPr>
        <w:t xml:space="preserve">25. DOI: </w:t>
      </w:r>
      <w:hyperlink r:id="rId21" w:history="1">
        <w:r w:rsidRPr="00C864C5">
          <w:rPr>
            <w:rStyle w:val="Hyperlink"/>
            <w:rFonts w:asciiTheme="minorBidi" w:hAnsiTheme="minorBidi" w:cstheme="minorBidi"/>
          </w:rPr>
          <w:t>http://dx.doi.org/10.22037/sdh.v6i1.33678</w:t>
        </w:r>
      </w:hyperlink>
    </w:p>
    <w:p w14:paraId="3AD456A5" w14:textId="77777777" w:rsidR="0043339D" w:rsidRPr="00C864C5" w:rsidRDefault="0043339D" w:rsidP="004B7EF7">
      <w:pPr>
        <w:ind w:left="540" w:hanging="540"/>
        <w:rPr>
          <w:rFonts w:asciiTheme="minorBidi" w:hAnsiTheme="minorBidi" w:cstheme="minorBidi"/>
        </w:rPr>
      </w:pPr>
      <w:bookmarkStart w:id="180" w:name="_Hlk72413215"/>
      <w:r w:rsidRPr="00C864C5">
        <w:rPr>
          <w:rFonts w:asciiTheme="minorBidi" w:hAnsiTheme="minorBidi" w:cstheme="minorBidi"/>
        </w:rPr>
        <w:t>Smith</w:t>
      </w:r>
      <w:bookmarkEnd w:id="180"/>
      <w:r w:rsidRPr="00C864C5">
        <w:rPr>
          <w:rFonts w:asciiTheme="minorBidi" w:hAnsiTheme="minorBidi" w:cstheme="minorBidi"/>
        </w:rPr>
        <w:t xml:space="preserve"> K. Evidence-Informed Policy in Public Health. Beyond Evidence-Based Policy in Public Health. London: Palgrave Macmillan; 2013. </w:t>
      </w:r>
      <w:hyperlink r:id="rId22" w:history="1">
        <w:r w:rsidRPr="00C864C5">
          <w:rPr>
            <w:rStyle w:val="Hyperlink"/>
            <w:rFonts w:asciiTheme="minorBidi" w:hAnsiTheme="minorBidi" w:cstheme="minorBidi"/>
          </w:rPr>
          <w:t>https://doi.org/</w:t>
        </w:r>
      </w:hyperlink>
      <w:r w:rsidRPr="00C864C5">
        <w:rPr>
          <w:rFonts w:asciiTheme="minorBidi" w:hAnsiTheme="minorBidi" w:cstheme="minorBidi"/>
        </w:rPr>
        <w:t xml:space="preserve"> 10.1057/9781137026583_2.</w:t>
      </w:r>
    </w:p>
    <w:p w14:paraId="7F0CD8F8" w14:textId="77777777" w:rsidR="0043339D" w:rsidRPr="00C864C5" w:rsidRDefault="0043339D" w:rsidP="004B7EF7">
      <w:pPr>
        <w:ind w:left="540" w:hanging="540"/>
        <w:rPr>
          <w:rFonts w:asciiTheme="minorBidi" w:hAnsiTheme="minorBidi" w:cstheme="minorBidi"/>
        </w:rPr>
      </w:pPr>
      <w:bookmarkStart w:id="181" w:name="_Hlk72847887"/>
      <w:r w:rsidRPr="00C864C5">
        <w:rPr>
          <w:rFonts w:asciiTheme="minorBidi" w:hAnsiTheme="minorBidi" w:cstheme="minorBidi"/>
        </w:rPr>
        <w:t xml:space="preserve">Solar O, </w:t>
      </w:r>
      <w:bookmarkStart w:id="182" w:name="_Hlk72946483"/>
      <w:r w:rsidRPr="00C864C5">
        <w:rPr>
          <w:rFonts w:asciiTheme="minorBidi" w:hAnsiTheme="minorBidi" w:cstheme="minorBidi"/>
        </w:rPr>
        <w:t>Irwin</w:t>
      </w:r>
      <w:bookmarkEnd w:id="182"/>
      <w:r w:rsidRPr="00C864C5">
        <w:rPr>
          <w:rFonts w:asciiTheme="minorBidi" w:hAnsiTheme="minorBidi" w:cstheme="minorBidi"/>
        </w:rPr>
        <w:t xml:space="preserve"> A. A Conceptual Framework for Action on the Social Determinants of Health: Social Determinants of Health Discussion Paper 2. Debates, Policy &amp; Practice, Case Studies. Geneva: World Health Organization; 2010.</w:t>
      </w:r>
    </w:p>
    <w:p w14:paraId="2AECAAEA" w14:textId="77777777" w:rsidR="0043339D" w:rsidRPr="00C864C5" w:rsidRDefault="0043339D" w:rsidP="004B7EF7">
      <w:pPr>
        <w:ind w:left="540" w:hanging="540"/>
        <w:rPr>
          <w:rFonts w:asciiTheme="minorBidi" w:hAnsiTheme="minorBidi" w:cstheme="minorBidi"/>
        </w:rPr>
      </w:pPr>
      <w:proofErr w:type="spellStart"/>
      <w:r w:rsidRPr="00C864C5">
        <w:rPr>
          <w:rFonts w:asciiTheme="minorBidi" w:hAnsiTheme="minorBidi" w:cstheme="minorBidi"/>
        </w:rPr>
        <w:t>Spinakis</w:t>
      </w:r>
      <w:bookmarkEnd w:id="181"/>
      <w:proofErr w:type="spellEnd"/>
      <w:r w:rsidRPr="00C864C5">
        <w:rPr>
          <w:rFonts w:asciiTheme="minorBidi" w:hAnsiTheme="minorBidi" w:cstheme="minorBidi"/>
        </w:rPr>
        <w:t xml:space="preserve"> A, </w:t>
      </w:r>
      <w:proofErr w:type="spellStart"/>
      <w:r w:rsidRPr="00C864C5">
        <w:rPr>
          <w:rFonts w:asciiTheme="minorBidi" w:hAnsiTheme="minorBidi" w:cstheme="minorBidi"/>
        </w:rPr>
        <w:t>Anastasiou</w:t>
      </w:r>
      <w:proofErr w:type="spellEnd"/>
      <w:r w:rsidRPr="00C864C5">
        <w:rPr>
          <w:rFonts w:asciiTheme="minorBidi" w:hAnsiTheme="minorBidi" w:cstheme="minorBidi"/>
        </w:rPr>
        <w:t xml:space="preserve"> G, </w:t>
      </w:r>
      <w:proofErr w:type="spellStart"/>
      <w:r w:rsidRPr="00C864C5">
        <w:rPr>
          <w:rFonts w:asciiTheme="minorBidi" w:hAnsiTheme="minorBidi" w:cstheme="minorBidi"/>
        </w:rPr>
        <w:t>Panousis</w:t>
      </w:r>
      <w:proofErr w:type="spellEnd"/>
      <w:r w:rsidRPr="00C864C5">
        <w:rPr>
          <w:rFonts w:asciiTheme="minorBidi" w:hAnsiTheme="minorBidi" w:cstheme="minorBidi"/>
        </w:rPr>
        <w:t xml:space="preserve"> V, </w:t>
      </w:r>
      <w:proofErr w:type="spellStart"/>
      <w:r w:rsidRPr="00C864C5">
        <w:rPr>
          <w:rFonts w:asciiTheme="minorBidi" w:hAnsiTheme="minorBidi" w:cstheme="minorBidi"/>
        </w:rPr>
        <w:t>Spiliopoulos</w:t>
      </w:r>
      <w:proofErr w:type="spellEnd"/>
      <w:r w:rsidRPr="00C864C5">
        <w:rPr>
          <w:rFonts w:asciiTheme="minorBidi" w:hAnsiTheme="minorBidi" w:cstheme="minorBidi"/>
        </w:rPr>
        <w:t xml:space="preserve"> K, </w:t>
      </w:r>
      <w:proofErr w:type="spellStart"/>
      <w:r w:rsidRPr="00C864C5">
        <w:rPr>
          <w:rFonts w:asciiTheme="minorBidi" w:hAnsiTheme="minorBidi" w:cstheme="minorBidi"/>
        </w:rPr>
        <w:t>Palaiologou</w:t>
      </w:r>
      <w:proofErr w:type="spellEnd"/>
      <w:r w:rsidRPr="00C864C5">
        <w:rPr>
          <w:rFonts w:asciiTheme="minorBidi" w:hAnsiTheme="minorBidi" w:cstheme="minorBidi"/>
        </w:rPr>
        <w:t xml:space="preserve"> S, </w:t>
      </w:r>
      <w:proofErr w:type="spellStart"/>
      <w:r w:rsidRPr="00C864C5">
        <w:rPr>
          <w:rFonts w:asciiTheme="minorBidi" w:hAnsiTheme="minorBidi" w:cstheme="minorBidi"/>
        </w:rPr>
        <w:t>Yfantopoulos</w:t>
      </w:r>
      <w:proofErr w:type="spellEnd"/>
      <w:r w:rsidRPr="00C864C5">
        <w:rPr>
          <w:rFonts w:asciiTheme="minorBidi" w:hAnsiTheme="minorBidi" w:cstheme="minorBidi"/>
        </w:rPr>
        <w:t xml:space="preserve"> J. Expert Review and Proposals for Measurement of Health Inequalities in the European Union—Summary Report. Luxembourg: European Commission Directorate General for Health and Consumers; 2011. ISBN 978-92-79-18529-8.</w:t>
      </w:r>
    </w:p>
    <w:p w14:paraId="5465A08F" w14:textId="77777777" w:rsidR="0043339D" w:rsidRPr="00C864C5" w:rsidRDefault="0043339D" w:rsidP="004B7EF7">
      <w:pPr>
        <w:ind w:left="540" w:hanging="540"/>
        <w:rPr>
          <w:rFonts w:asciiTheme="minorBidi" w:hAnsiTheme="minorBidi" w:cstheme="minorBidi"/>
          <w:color w:val="000000"/>
        </w:rPr>
      </w:pPr>
      <w:r w:rsidRPr="00C864C5">
        <w:rPr>
          <w:rFonts w:asciiTheme="minorBidi" w:hAnsiTheme="minorBidi" w:cstheme="minorBidi"/>
          <w:color w:val="000000"/>
        </w:rPr>
        <w:t xml:space="preserve">Stephen Y. </w:t>
      </w:r>
      <w:bookmarkStart w:id="183" w:name="_Hlk72838246"/>
      <w:r w:rsidRPr="00C864C5">
        <w:rPr>
          <w:rFonts w:asciiTheme="minorBidi" w:hAnsiTheme="minorBidi" w:cstheme="minorBidi"/>
          <w:color w:val="000000"/>
        </w:rPr>
        <w:t>Wang</w:t>
      </w:r>
      <w:bookmarkEnd w:id="183"/>
      <w:r w:rsidRPr="00C864C5">
        <w:rPr>
          <w:rFonts w:asciiTheme="minorBidi" w:hAnsiTheme="minorBidi" w:cstheme="minorBidi"/>
          <w:color w:val="000000"/>
        </w:rPr>
        <w:t xml:space="preserve">, Lauren A. Eberly, Christina A. Roberto, </w:t>
      </w:r>
      <w:proofErr w:type="spellStart"/>
      <w:r w:rsidRPr="00C864C5">
        <w:rPr>
          <w:rFonts w:asciiTheme="minorBidi" w:hAnsiTheme="minorBidi" w:cstheme="minorBidi"/>
          <w:color w:val="000000"/>
        </w:rPr>
        <w:t>Atheendar</w:t>
      </w:r>
      <w:proofErr w:type="spellEnd"/>
      <w:r w:rsidRPr="00C864C5">
        <w:rPr>
          <w:rFonts w:asciiTheme="minorBidi" w:hAnsiTheme="minorBidi" w:cstheme="minorBidi"/>
          <w:color w:val="000000"/>
        </w:rPr>
        <w:t xml:space="preserve"> S. </w:t>
      </w:r>
      <w:proofErr w:type="spellStart"/>
      <w:r w:rsidRPr="00C864C5">
        <w:rPr>
          <w:rFonts w:asciiTheme="minorBidi" w:hAnsiTheme="minorBidi" w:cstheme="minorBidi"/>
          <w:color w:val="000000"/>
        </w:rPr>
        <w:t>Venkataramani</w:t>
      </w:r>
      <w:proofErr w:type="spellEnd"/>
      <w:r w:rsidRPr="00C864C5">
        <w:rPr>
          <w:rFonts w:asciiTheme="minorBidi" w:hAnsiTheme="minorBidi" w:cstheme="minorBidi"/>
          <w:color w:val="000000"/>
        </w:rPr>
        <w:t xml:space="preserve">, Peter W. Groeneveld. Food Insecurity and Cardiovascular Mortality for Nonelderly Adults in the United States From 2011 to 2017: A County-Level Longitudinal Analysis. Circulation: Cardiovascular Quality and </w:t>
      </w:r>
      <w:proofErr w:type="spellStart"/>
      <w:r w:rsidRPr="00C864C5">
        <w:rPr>
          <w:rFonts w:asciiTheme="minorBidi" w:hAnsiTheme="minorBidi" w:cstheme="minorBidi"/>
          <w:color w:val="000000"/>
        </w:rPr>
        <w:t>OutcomesVolume</w:t>
      </w:r>
      <w:proofErr w:type="spellEnd"/>
      <w:r w:rsidRPr="00C864C5">
        <w:rPr>
          <w:rFonts w:asciiTheme="minorBidi" w:hAnsiTheme="minorBidi" w:cstheme="minorBidi"/>
          <w:color w:val="000000"/>
        </w:rPr>
        <w:t xml:space="preserve"> 14, Issue 1, January 2021. Available at https://doi.org/10.1161/CIRCOUTCOMES.120.007473</w:t>
      </w:r>
    </w:p>
    <w:p w14:paraId="5EA5EA92" w14:textId="0F08327E" w:rsidR="00C25BBC" w:rsidRDefault="00C25BBC" w:rsidP="00C25BBC">
      <w:pPr>
        <w:ind w:left="540" w:hanging="540"/>
        <w:rPr>
          <w:rFonts w:asciiTheme="minorBidi" w:eastAsia="Times New Roman" w:hAnsiTheme="minorBidi" w:cstheme="minorBidi"/>
        </w:rPr>
      </w:pPr>
      <w:r>
        <w:rPr>
          <w:color w:val="222222"/>
          <w:shd w:val="clear" w:color="auto" w:fill="FFFFFF"/>
        </w:rPr>
        <w:t>The 3-D Commission. The 3-D report: Data, social determinants, and better decision-making for health: The report of the 3-D Commission. Boston: 3-D Commission; 2021</w:t>
      </w:r>
    </w:p>
    <w:p w14:paraId="59CD67B6" w14:textId="4BE9AD30" w:rsidR="0043339D" w:rsidRPr="00C864C5" w:rsidRDefault="0043339D" w:rsidP="004B7EF7">
      <w:pPr>
        <w:ind w:left="540" w:hanging="540"/>
        <w:rPr>
          <w:rFonts w:asciiTheme="minorBidi" w:eastAsia="Times New Roman" w:hAnsiTheme="minorBidi" w:cstheme="minorBidi"/>
        </w:rPr>
      </w:pPr>
      <w:r w:rsidRPr="00C864C5">
        <w:rPr>
          <w:rFonts w:asciiTheme="minorBidi" w:eastAsia="Times New Roman" w:hAnsiTheme="minorBidi" w:cstheme="minorBidi"/>
        </w:rPr>
        <w:t>United Nations General Assembly. Prevention and control of non-communicable diseases, report of the Secretary General. New York, UN: 2011</w:t>
      </w:r>
    </w:p>
    <w:p w14:paraId="3810A22F"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United nations 2014. Framework of Actions for the follow-up to the </w:t>
      </w:r>
      <w:proofErr w:type="spellStart"/>
      <w:r w:rsidRPr="00C864C5">
        <w:rPr>
          <w:rFonts w:asciiTheme="minorBidi" w:hAnsiTheme="minorBidi" w:cstheme="minorBidi"/>
        </w:rPr>
        <w:t>Programme</w:t>
      </w:r>
      <w:proofErr w:type="spellEnd"/>
      <w:r w:rsidRPr="00C864C5">
        <w:rPr>
          <w:rFonts w:asciiTheme="minorBidi" w:hAnsiTheme="minorBidi" w:cstheme="minorBidi"/>
        </w:rPr>
        <w:t xml:space="preserve"> of Action of the International Conference on Population and Development Beyond 2014 Report of the Secretary-General. Available at https://www.unfpa.org/sites/default/files/event-pdf/93632_unfpa_eng_web.pdf</w:t>
      </w:r>
    </w:p>
    <w:p w14:paraId="712AC295"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eastAsia="Times New Roman" w:hAnsiTheme="minorBidi" w:cstheme="minorBidi"/>
        </w:rPr>
        <w:lastRenderedPageBreak/>
        <w:t xml:space="preserve">United Nations. </w:t>
      </w:r>
      <w:r w:rsidRPr="00C864C5">
        <w:rPr>
          <w:rFonts w:asciiTheme="minorBidi" w:hAnsiTheme="minorBidi" w:cstheme="minorBidi"/>
        </w:rPr>
        <w:t xml:space="preserve">Transforming our world: the 2030 agenda for sustainable development. New York: United Nations; 2015. Available at </w:t>
      </w:r>
      <w:hyperlink r:id="rId23" w:history="1">
        <w:r w:rsidRPr="00C864C5">
          <w:rPr>
            <w:rStyle w:val="Hyperlink"/>
            <w:rFonts w:asciiTheme="minorBidi" w:hAnsiTheme="minorBidi" w:cstheme="minorBidi"/>
          </w:rPr>
          <w:t>https://sustainabledevelopment.un.org/post2015/transformingourworld</w:t>
        </w:r>
      </w:hyperlink>
      <w:r w:rsidRPr="00C864C5">
        <w:rPr>
          <w:rFonts w:asciiTheme="minorBidi" w:hAnsiTheme="minorBidi" w:cstheme="minorBidi"/>
        </w:rPr>
        <w:t>.</w:t>
      </w:r>
    </w:p>
    <w:p w14:paraId="1077C259"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United Nations-b, 2015. Resolution adopted by the General Assembly on 25 September 2015</w:t>
      </w:r>
      <w:proofErr w:type="gramStart"/>
      <w:r w:rsidRPr="00C864C5">
        <w:rPr>
          <w:rFonts w:asciiTheme="minorBidi" w:hAnsiTheme="minorBidi" w:cstheme="minorBidi"/>
        </w:rPr>
        <w:t xml:space="preserve"> 70/1</w:t>
      </w:r>
      <w:proofErr w:type="gramEnd"/>
      <w:r w:rsidRPr="00C864C5">
        <w:rPr>
          <w:rFonts w:asciiTheme="minorBidi" w:hAnsiTheme="minorBidi" w:cstheme="minorBidi"/>
        </w:rPr>
        <w:t>. Transforming our world: the 2030 Agenda for Sustainable Development http://www.un.org/ga/search/view_doc.asp?symbol=A/RES/70/1&amp;Lang=E</w:t>
      </w:r>
    </w:p>
    <w:p w14:paraId="5D677951"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hAnsiTheme="minorBidi" w:cstheme="minorBidi"/>
          <w:color w:val="000000" w:themeColor="text1"/>
        </w:rPr>
        <w:t xml:space="preserve">United Nations, </w:t>
      </w:r>
      <w:proofErr w:type="gramStart"/>
      <w:r w:rsidRPr="00C864C5">
        <w:rPr>
          <w:rFonts w:asciiTheme="minorBidi" w:hAnsiTheme="minorBidi" w:cstheme="minorBidi"/>
          <w:color w:val="000000" w:themeColor="text1"/>
        </w:rPr>
        <w:t>2016 .</w:t>
      </w:r>
      <w:proofErr w:type="gramEnd"/>
      <w:r w:rsidRPr="00C864C5">
        <w:rPr>
          <w:rFonts w:asciiTheme="minorBidi" w:hAnsiTheme="minorBidi" w:cstheme="minorBidi"/>
          <w:color w:val="000000" w:themeColor="text1"/>
        </w:rPr>
        <w:t xml:space="preserve"> Transforming our world: the 2030 Agenda for Sustainable Development. In: Sustainable Development Knowledge Platform [website]. New York: United Nations; 2016. https://sustainabledevelopment.un.org/post2015/Transforming our world</w:t>
      </w:r>
    </w:p>
    <w:p w14:paraId="65A5FFFA"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United Nations 2020. Policy Brief: The Impact of COVID-19 on the Arab Region </w:t>
      </w:r>
      <w:proofErr w:type="gramStart"/>
      <w:r w:rsidRPr="00C864C5">
        <w:rPr>
          <w:rFonts w:asciiTheme="minorBidi" w:hAnsiTheme="minorBidi" w:cstheme="minorBidi"/>
        </w:rPr>
        <w:t>An</w:t>
      </w:r>
      <w:proofErr w:type="gramEnd"/>
      <w:r w:rsidRPr="00C864C5">
        <w:rPr>
          <w:rFonts w:asciiTheme="minorBidi" w:hAnsiTheme="minorBidi" w:cstheme="minorBidi"/>
        </w:rPr>
        <w:t xml:space="preserve"> Opportunity to Build Back Better https://saudiarabia.un.org/sites/default/files/2020-07/sg_policy_brief_covid-19_and_arab_states_english_version_july_2020.pdf.</w:t>
      </w:r>
    </w:p>
    <w:p w14:paraId="2C59F4B6" w14:textId="77777777" w:rsidR="0043339D" w:rsidRPr="00C864C5" w:rsidRDefault="0043339D" w:rsidP="004B7EF7">
      <w:pPr>
        <w:autoSpaceDE w:val="0"/>
        <w:autoSpaceDN w:val="0"/>
        <w:adjustRightInd w:val="0"/>
        <w:ind w:left="540" w:hanging="540"/>
        <w:rPr>
          <w:rFonts w:asciiTheme="minorBidi" w:hAnsiTheme="minorBidi" w:cstheme="minorBidi"/>
          <w:color w:val="000000" w:themeColor="text1"/>
        </w:rPr>
      </w:pPr>
      <w:bookmarkStart w:id="184" w:name="_Hlk72413243"/>
      <w:r w:rsidRPr="00C864C5">
        <w:rPr>
          <w:rFonts w:asciiTheme="minorBidi" w:hAnsiTheme="minorBidi" w:cstheme="minorBidi"/>
          <w:color w:val="000000" w:themeColor="text1"/>
        </w:rPr>
        <w:t>United Nations, 1995. Report of the International Conference on Population and Development (Cairo, 5– 13 September 1994). New York: United Nations; 1995 (A/CONF.171/13/Rev.1; http://www.ipci2014.org/en/node/64).</w:t>
      </w:r>
    </w:p>
    <w:p w14:paraId="120DAA42"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United Nations, 1996. Report of the Fourth World Conference on Women (Beijing, 4–15 September 1995). New York: United Nations; 1996 (A/CONF.177/20/Rev.</w:t>
      </w:r>
      <w:proofErr w:type="gramStart"/>
      <w:r w:rsidRPr="00C864C5">
        <w:rPr>
          <w:rFonts w:asciiTheme="minorBidi" w:hAnsiTheme="minorBidi" w:cstheme="minorBidi"/>
        </w:rPr>
        <w:t>1;http://www.un.org/womenwatch/daw/beijing/official.htm</w:t>
      </w:r>
      <w:proofErr w:type="gramEnd"/>
      <w:r w:rsidRPr="00C864C5">
        <w:rPr>
          <w:rFonts w:asciiTheme="minorBidi" w:hAnsiTheme="minorBidi" w:cstheme="minorBidi"/>
        </w:rPr>
        <w:t>).</w:t>
      </w:r>
    </w:p>
    <w:p w14:paraId="31496C09"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United Nations 2015. the Millennium Development Goals Report 2015 Available at </w:t>
      </w:r>
      <w:hyperlink r:id="rId24" w:history="1">
        <w:r w:rsidRPr="00C864C5">
          <w:rPr>
            <w:rStyle w:val="Hyperlink"/>
            <w:rFonts w:asciiTheme="minorBidi" w:hAnsiTheme="minorBidi" w:cstheme="minorBidi"/>
          </w:rPr>
          <w:t>http://www.un.org/millenniumgoals/2015_MDG_Report/pdf/MDG%202015%20rev%20(July%201)</w:t>
        </w:r>
      </w:hyperlink>
      <w:r w:rsidRPr="00C864C5">
        <w:rPr>
          <w:rFonts w:asciiTheme="minorBidi" w:hAnsiTheme="minorBidi" w:cstheme="minorBidi"/>
        </w:rPr>
        <w:t>. Pdf.</w:t>
      </w:r>
    </w:p>
    <w:p w14:paraId="68C268BD"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United Nations Food and agriculture organization 2020. The State of Food Security and Nutrition in the World (SOFI): Safeguarding against economic slowdowns and downturns. World Food </w:t>
      </w:r>
      <w:proofErr w:type="spellStart"/>
      <w:r w:rsidRPr="00C864C5">
        <w:rPr>
          <w:rFonts w:asciiTheme="minorBidi" w:hAnsiTheme="minorBidi" w:cstheme="minorBidi"/>
        </w:rPr>
        <w:t>Programme</w:t>
      </w:r>
      <w:proofErr w:type="spellEnd"/>
      <w:r w:rsidRPr="00C864C5">
        <w:rPr>
          <w:rFonts w:asciiTheme="minorBidi" w:hAnsiTheme="minorBidi" w:cstheme="minorBidi"/>
        </w:rPr>
        <w:t xml:space="preserve"> in collaboration with International Food and Agriculture Development (IFAD), UNICEF and WHO. Available at https://docs.wfp.org/api/documents/WFP-0000106760/download/?_ga=2.186396458.200506557.1621932271-905335662.1621932271.</w:t>
      </w:r>
    </w:p>
    <w:p w14:paraId="053901D7"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 xml:space="preserve">Wagstaff A, </w:t>
      </w:r>
      <w:proofErr w:type="spellStart"/>
      <w:r w:rsidRPr="00C864C5">
        <w:rPr>
          <w:rFonts w:asciiTheme="minorBidi" w:hAnsiTheme="minorBidi" w:cstheme="minorBidi"/>
        </w:rPr>
        <w:t>Paci</w:t>
      </w:r>
      <w:proofErr w:type="spellEnd"/>
      <w:r w:rsidRPr="00C864C5">
        <w:rPr>
          <w:rFonts w:asciiTheme="minorBidi" w:hAnsiTheme="minorBidi" w:cstheme="minorBidi"/>
        </w:rPr>
        <w:t xml:space="preserve"> P, van </w:t>
      </w:r>
      <w:proofErr w:type="spellStart"/>
      <w:r w:rsidRPr="00C864C5">
        <w:rPr>
          <w:rFonts w:asciiTheme="minorBidi" w:hAnsiTheme="minorBidi" w:cstheme="minorBidi"/>
        </w:rPr>
        <w:t>Doorslaer</w:t>
      </w:r>
      <w:proofErr w:type="spellEnd"/>
      <w:r w:rsidRPr="00C864C5">
        <w:rPr>
          <w:rFonts w:asciiTheme="minorBidi" w:hAnsiTheme="minorBidi" w:cstheme="minorBidi"/>
        </w:rPr>
        <w:t xml:space="preserve"> E. On the measurement of inequalities in health. Soc Sci Med. 1991;33(5):545–557. </w:t>
      </w:r>
    </w:p>
    <w:p w14:paraId="0858CB3E" w14:textId="43D93741" w:rsidR="00492794" w:rsidRPr="00C864C5" w:rsidRDefault="00492794" w:rsidP="004B7EF7">
      <w:pPr>
        <w:pStyle w:val="Bibliography"/>
        <w:spacing w:after="0" w:line="360" w:lineRule="auto"/>
        <w:ind w:left="540" w:hanging="540"/>
        <w:jc w:val="both"/>
        <w:rPr>
          <w:rFonts w:asciiTheme="minorBidi" w:hAnsiTheme="minorBidi"/>
        </w:rPr>
      </w:pPr>
      <w:bookmarkStart w:id="185" w:name="_Hlk72946554"/>
      <w:r w:rsidRPr="00C864C5">
        <w:rPr>
          <w:rFonts w:asciiTheme="minorBidi" w:hAnsiTheme="minorBidi"/>
        </w:rPr>
        <w:t xml:space="preserve">Webster PC. The rise of open-source electronic health records. </w:t>
      </w:r>
      <w:r w:rsidRPr="00C864C5">
        <w:rPr>
          <w:rFonts w:asciiTheme="minorBidi" w:hAnsiTheme="minorBidi"/>
          <w:i/>
          <w:iCs/>
        </w:rPr>
        <w:t>The Lancet</w:t>
      </w:r>
      <w:r w:rsidRPr="00C864C5">
        <w:rPr>
          <w:rFonts w:asciiTheme="minorBidi" w:hAnsiTheme="minorBidi"/>
        </w:rPr>
        <w:t>. 2011;377(9778):1641-1642. doi:10.1016/S0140-6736(11)60659-4</w:t>
      </w:r>
    </w:p>
    <w:p w14:paraId="77084D26" w14:textId="035FAC11"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t>Whitehead</w:t>
      </w:r>
      <w:bookmarkEnd w:id="185"/>
      <w:r w:rsidRPr="00C864C5">
        <w:rPr>
          <w:rFonts w:asciiTheme="minorBidi" w:hAnsiTheme="minorBidi" w:cstheme="minorBidi"/>
        </w:rPr>
        <w:t xml:space="preserve"> M. The Concepts and Principles of Equity and Health. Copenhagen: WHO Regional Office for Europe; 1990. http://whqlibdoc.who. int/euro/-1993/EUR_ICP_RPD_414.pdf</w:t>
      </w:r>
    </w:p>
    <w:p w14:paraId="1484A5EA" w14:textId="77777777" w:rsidR="0043339D" w:rsidRPr="00C864C5" w:rsidRDefault="0043339D" w:rsidP="004B7EF7">
      <w:pPr>
        <w:ind w:left="540" w:hanging="540"/>
        <w:rPr>
          <w:rFonts w:asciiTheme="minorBidi" w:hAnsiTheme="minorBidi" w:cstheme="minorBidi"/>
        </w:rPr>
      </w:pPr>
      <w:r w:rsidRPr="00C864C5">
        <w:rPr>
          <w:rFonts w:asciiTheme="minorBidi" w:hAnsiTheme="minorBidi" w:cstheme="minorBidi"/>
        </w:rPr>
        <w:lastRenderedPageBreak/>
        <w:t>Whitehead</w:t>
      </w:r>
      <w:bookmarkEnd w:id="184"/>
      <w:r w:rsidRPr="00C864C5">
        <w:rPr>
          <w:rFonts w:asciiTheme="minorBidi" w:hAnsiTheme="minorBidi" w:cstheme="minorBidi"/>
        </w:rPr>
        <w:t xml:space="preserve"> M. Diffusion of ideas on social inequalities in health: a European perspective. Milbank Q. </w:t>
      </w:r>
      <w:proofErr w:type="gramStart"/>
      <w:r w:rsidRPr="00C864C5">
        <w:rPr>
          <w:rFonts w:asciiTheme="minorBidi" w:hAnsiTheme="minorBidi" w:cstheme="minorBidi"/>
        </w:rPr>
        <w:t>1998;76:469</w:t>
      </w:r>
      <w:proofErr w:type="gramEnd"/>
      <w:r w:rsidRPr="00C864C5">
        <w:rPr>
          <w:rFonts w:asciiTheme="minorBidi" w:hAnsiTheme="minorBidi" w:cstheme="minorBidi"/>
        </w:rPr>
        <w:t>–92. https://doi.org/10.1111/1468-0009. 00099.</w:t>
      </w:r>
    </w:p>
    <w:p w14:paraId="3FDDC645" w14:textId="77777777" w:rsidR="0043339D" w:rsidRPr="00C864C5" w:rsidRDefault="0043339D" w:rsidP="004B7EF7">
      <w:pPr>
        <w:ind w:left="540" w:hanging="540"/>
        <w:rPr>
          <w:rFonts w:asciiTheme="minorBidi" w:eastAsia="Times New Roman" w:hAnsiTheme="minorBidi" w:cstheme="minorBidi"/>
        </w:rPr>
      </w:pPr>
      <w:r w:rsidRPr="00C864C5">
        <w:rPr>
          <w:rFonts w:asciiTheme="minorBidi" w:eastAsia="Times New Roman" w:hAnsiTheme="minorBidi" w:cstheme="minorBidi"/>
        </w:rPr>
        <w:t>World Health Organization 1986. The Ottawa charter for health promotion. Geneva: (WHO/HPR/HEP/95.1). http://www.who.int/healthpromotion/conferences/previous/ottawa/en/</w:t>
      </w:r>
    </w:p>
    <w:p w14:paraId="3A0C0AC0"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hAnsiTheme="minorBidi" w:cstheme="minorBidi"/>
        </w:rPr>
        <w:t>World Health Organization; 1986. Intersectoral action for health and wellbeing: the role of intersectoral cooperation in national strategies for health-for-all. Geneva: (http://apps.who.int/iris/bitstream/10665/41545/1/9241560967_eng.pdf.</w:t>
      </w:r>
    </w:p>
    <w:p w14:paraId="7B053EBD"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hAnsiTheme="minorBidi" w:cstheme="minorBidi"/>
        </w:rPr>
        <w:t xml:space="preserve">World Health Organization, Geneva, 2009. Monitoring and evaluation of health systems strengthening </w:t>
      </w:r>
      <w:proofErr w:type="gramStart"/>
      <w:r w:rsidRPr="00C864C5">
        <w:rPr>
          <w:rFonts w:asciiTheme="minorBidi" w:hAnsiTheme="minorBidi" w:cstheme="minorBidi"/>
        </w:rPr>
        <w:t>An</w:t>
      </w:r>
      <w:proofErr w:type="gramEnd"/>
      <w:r w:rsidRPr="00C864C5">
        <w:rPr>
          <w:rFonts w:asciiTheme="minorBidi" w:hAnsiTheme="minorBidi" w:cstheme="minorBidi"/>
        </w:rPr>
        <w:t xml:space="preserve"> operational framework. Paper prepared by WHO (Ties </w:t>
      </w:r>
      <w:proofErr w:type="spellStart"/>
      <w:r w:rsidRPr="00C864C5">
        <w:rPr>
          <w:rFonts w:asciiTheme="minorBidi" w:hAnsiTheme="minorBidi" w:cstheme="minorBidi"/>
        </w:rPr>
        <w:t>Boerma</w:t>
      </w:r>
      <w:proofErr w:type="spellEnd"/>
      <w:r w:rsidRPr="00C864C5">
        <w:rPr>
          <w:rFonts w:asciiTheme="minorBidi" w:hAnsiTheme="minorBidi" w:cstheme="minorBidi"/>
        </w:rPr>
        <w:t xml:space="preserve"> and Carla Abou</w:t>
      </w:r>
      <w:r w:rsidRPr="00C864C5">
        <w:rPr>
          <w:rFonts w:ascii="Cambria Math" w:hAnsi="Cambria Math" w:cs="Cambria Math"/>
        </w:rPr>
        <w:t>‐</w:t>
      </w:r>
      <w:proofErr w:type="spellStart"/>
      <w:r w:rsidRPr="00C864C5">
        <w:rPr>
          <w:rFonts w:asciiTheme="minorBidi" w:hAnsiTheme="minorBidi" w:cstheme="minorBidi"/>
        </w:rPr>
        <w:t>Zahr</w:t>
      </w:r>
      <w:proofErr w:type="spellEnd"/>
      <w:r w:rsidRPr="00C864C5">
        <w:rPr>
          <w:rFonts w:asciiTheme="minorBidi" w:hAnsiTheme="minorBidi" w:cstheme="minorBidi"/>
        </w:rPr>
        <w:t>), World Bank (Ed Bos), GAVI (Peter Hansen) and Global Fund (Eddie Addai and Daniel Low</w:t>
      </w:r>
      <w:r w:rsidRPr="00C864C5">
        <w:rPr>
          <w:rFonts w:ascii="Cambria Math" w:hAnsi="Cambria Math" w:cs="Cambria Math"/>
        </w:rPr>
        <w:t>‐</w:t>
      </w:r>
      <w:r w:rsidRPr="00C864C5">
        <w:rPr>
          <w:rFonts w:asciiTheme="minorBidi" w:hAnsiTheme="minorBidi" w:cstheme="minorBidi"/>
        </w:rPr>
        <w:t>Beer) as part of the joint work on health systems strengthening and IHP+ common evaluation framework</w:t>
      </w:r>
    </w:p>
    <w:p w14:paraId="1344D472"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hAnsiTheme="minorBidi" w:cstheme="minorBidi"/>
        </w:rPr>
        <w:t>World Health Organization Regional Office for Europe 2010. Parma Declaration on Environment and Health. Parma, Italy.</w:t>
      </w:r>
    </w:p>
    <w:p w14:paraId="5296CF96"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hAnsiTheme="minorBidi" w:cstheme="minorBidi"/>
        </w:rPr>
        <w:t xml:space="preserve">World Health Organization 2010, Government of South Australia. Adelaide Statement on Health in All </w:t>
      </w:r>
      <w:proofErr w:type="spellStart"/>
      <w:proofErr w:type="gramStart"/>
      <w:r w:rsidRPr="00C864C5">
        <w:rPr>
          <w:rFonts w:asciiTheme="minorBidi" w:hAnsiTheme="minorBidi" w:cstheme="minorBidi"/>
        </w:rPr>
        <w:t>Policies:moving</w:t>
      </w:r>
      <w:proofErr w:type="spellEnd"/>
      <w:proofErr w:type="gramEnd"/>
      <w:r w:rsidRPr="00C864C5">
        <w:rPr>
          <w:rFonts w:asciiTheme="minorBidi" w:hAnsiTheme="minorBidi" w:cstheme="minorBidi"/>
        </w:rPr>
        <w:t xml:space="preserve"> towards a shared governance for health and well-being. Report from the international meeting on health in all policies. Geneva: World Health Organization; 2010 (www.who.int/social_determinants/hiap_statement_who_sa_final.pdf); </w:t>
      </w:r>
      <w:proofErr w:type="spellStart"/>
      <w:r w:rsidRPr="00C864C5">
        <w:rPr>
          <w:rFonts w:asciiTheme="minorBidi" w:hAnsiTheme="minorBidi" w:cstheme="minorBidi"/>
        </w:rPr>
        <w:t>Krech</w:t>
      </w:r>
      <w:proofErr w:type="spellEnd"/>
      <w:r w:rsidRPr="00C864C5">
        <w:rPr>
          <w:rFonts w:asciiTheme="minorBidi" w:hAnsiTheme="minorBidi" w:cstheme="minorBidi"/>
        </w:rPr>
        <w:t xml:space="preserve"> R, Valentine NB, Tucker Reinders L, Albrecht D. Implications of the Adelaide Statement on Health in All Policies. Bulletin of the World Health Organization. </w:t>
      </w:r>
      <w:proofErr w:type="gramStart"/>
      <w:r w:rsidRPr="00C864C5">
        <w:rPr>
          <w:rFonts w:asciiTheme="minorBidi" w:hAnsiTheme="minorBidi" w:cstheme="minorBidi"/>
        </w:rPr>
        <w:t>2010;88:720</w:t>
      </w:r>
      <w:proofErr w:type="gramEnd"/>
    </w:p>
    <w:p w14:paraId="7EA693D7"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hAnsiTheme="minorBidi" w:cstheme="minorBidi"/>
        </w:rPr>
        <w:t>World Health Organization 2011. Rio political declarations on social determinants of health. World Conference on Social Determinates of Health, Rio de Janeiro, Brazil, 19-21 October 2011</w:t>
      </w:r>
    </w:p>
    <w:p w14:paraId="5782A3F4" w14:textId="77777777" w:rsidR="0043339D" w:rsidRPr="00C864C5" w:rsidRDefault="0043339D" w:rsidP="004B7EF7">
      <w:pPr>
        <w:autoSpaceDE w:val="0"/>
        <w:autoSpaceDN w:val="0"/>
        <w:adjustRightInd w:val="0"/>
        <w:ind w:left="540" w:hanging="540"/>
        <w:rPr>
          <w:rFonts w:asciiTheme="minorBidi" w:eastAsia="Times New Roman" w:hAnsiTheme="minorBidi" w:cstheme="minorBidi"/>
        </w:rPr>
      </w:pPr>
      <w:r w:rsidRPr="00C864C5">
        <w:rPr>
          <w:rFonts w:asciiTheme="minorBidi" w:hAnsiTheme="minorBidi" w:cstheme="minorBidi"/>
        </w:rPr>
        <w:t xml:space="preserve">World Health Organization 2012. Framework and standards for country health information systems, second edition. WHO and Health metrics network (HMN) second </w:t>
      </w:r>
      <w:proofErr w:type="spellStart"/>
      <w:r w:rsidRPr="00C864C5">
        <w:rPr>
          <w:rFonts w:asciiTheme="minorBidi" w:hAnsiTheme="minorBidi" w:cstheme="minorBidi"/>
        </w:rPr>
        <w:t>editionprinted</w:t>
      </w:r>
      <w:proofErr w:type="spellEnd"/>
      <w:r w:rsidRPr="00C864C5">
        <w:rPr>
          <w:rFonts w:asciiTheme="minorBidi" w:hAnsiTheme="minorBidi" w:cstheme="minorBidi"/>
        </w:rPr>
        <w:t xml:space="preserve"> 2008 and reprinted </w:t>
      </w:r>
      <w:proofErr w:type="gramStart"/>
      <w:r w:rsidRPr="00C864C5">
        <w:rPr>
          <w:rFonts w:asciiTheme="minorBidi" w:hAnsiTheme="minorBidi" w:cstheme="minorBidi"/>
        </w:rPr>
        <w:t>2012.</w:t>
      </w:r>
      <w:proofErr w:type="gramEnd"/>
    </w:p>
    <w:p w14:paraId="49D8A36D"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hAnsiTheme="minorBidi" w:cstheme="minorBidi"/>
        </w:rPr>
        <w:t>World Health Organization 2013. Handbook on Health Inequality Monitoring with a special focus on low- and middle-income countries. World Health Organization 2013.</w:t>
      </w:r>
    </w:p>
    <w:p w14:paraId="170279FF" w14:textId="77777777" w:rsidR="0043339D" w:rsidRPr="00C864C5" w:rsidRDefault="0043339D" w:rsidP="004B7EF7">
      <w:pPr>
        <w:autoSpaceDE w:val="0"/>
        <w:autoSpaceDN w:val="0"/>
        <w:adjustRightInd w:val="0"/>
        <w:ind w:left="540" w:hanging="540"/>
        <w:rPr>
          <w:rFonts w:asciiTheme="minorBidi" w:eastAsia="Times New Roman" w:hAnsiTheme="minorBidi" w:cstheme="minorBidi"/>
        </w:rPr>
      </w:pPr>
      <w:r w:rsidRPr="00C864C5">
        <w:rPr>
          <w:rFonts w:asciiTheme="minorBidi" w:hAnsiTheme="minorBidi" w:cstheme="minorBidi"/>
        </w:rPr>
        <w:t>World Health Organization 2015. Health in 2015: from MDGs to SDGs. Geneva: World Health Organization; 2015. Available at http://www.who. int/</w:t>
      </w:r>
      <w:proofErr w:type="spellStart"/>
      <w:r w:rsidRPr="00C864C5">
        <w:rPr>
          <w:rFonts w:asciiTheme="minorBidi" w:hAnsiTheme="minorBidi" w:cstheme="minorBidi"/>
        </w:rPr>
        <w:t>gho</w:t>
      </w:r>
      <w:proofErr w:type="spellEnd"/>
      <w:r w:rsidRPr="00C864C5">
        <w:rPr>
          <w:rFonts w:asciiTheme="minorBidi" w:hAnsiTheme="minorBidi" w:cstheme="minorBidi"/>
        </w:rPr>
        <w:t>/publications/</w:t>
      </w:r>
      <w:proofErr w:type="spellStart"/>
      <w:r w:rsidRPr="00C864C5">
        <w:rPr>
          <w:rFonts w:asciiTheme="minorBidi" w:hAnsiTheme="minorBidi" w:cstheme="minorBidi"/>
        </w:rPr>
        <w:t>mdgs-sdgs</w:t>
      </w:r>
      <w:proofErr w:type="spellEnd"/>
      <w:r w:rsidRPr="00C864C5">
        <w:rPr>
          <w:rFonts w:asciiTheme="minorBidi" w:hAnsiTheme="minorBidi" w:cstheme="minorBidi"/>
        </w:rPr>
        <w:t>/</w:t>
      </w:r>
      <w:proofErr w:type="spellStart"/>
      <w:r w:rsidRPr="00C864C5">
        <w:rPr>
          <w:rFonts w:asciiTheme="minorBidi" w:hAnsiTheme="minorBidi" w:cstheme="minorBidi"/>
        </w:rPr>
        <w:t>en</w:t>
      </w:r>
      <w:proofErr w:type="spellEnd"/>
      <w:r w:rsidRPr="00C864C5">
        <w:rPr>
          <w:rFonts w:asciiTheme="minorBidi" w:hAnsiTheme="minorBidi" w:cstheme="minorBidi"/>
        </w:rPr>
        <w:t>.</w:t>
      </w:r>
    </w:p>
    <w:p w14:paraId="550EE69B"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hAnsiTheme="minorBidi" w:cstheme="minorBidi"/>
        </w:rPr>
        <w:t xml:space="preserve">World Health Organization 2016. Sustainable development goals. Geneva: World Health Organization; 2016. Available at </w:t>
      </w:r>
      <w:hyperlink r:id="rId25" w:history="1">
        <w:r w:rsidRPr="00C864C5">
          <w:rPr>
            <w:rStyle w:val="Hyperlink"/>
            <w:rFonts w:asciiTheme="minorBidi" w:hAnsiTheme="minorBidi" w:cstheme="minorBidi"/>
          </w:rPr>
          <w:t>http://www.who.int/topics/sustainable-development-goals/en</w:t>
        </w:r>
      </w:hyperlink>
      <w:r w:rsidRPr="00C864C5">
        <w:rPr>
          <w:rFonts w:asciiTheme="minorBidi" w:hAnsiTheme="minorBidi" w:cstheme="minorBidi"/>
        </w:rPr>
        <w:t>.</w:t>
      </w:r>
    </w:p>
    <w:p w14:paraId="37B1A046" w14:textId="77777777" w:rsidR="0043339D" w:rsidRPr="00C864C5" w:rsidRDefault="0043339D" w:rsidP="004B7EF7">
      <w:pPr>
        <w:autoSpaceDE w:val="0"/>
        <w:autoSpaceDN w:val="0"/>
        <w:adjustRightInd w:val="0"/>
        <w:ind w:left="540" w:hanging="540"/>
        <w:rPr>
          <w:rFonts w:asciiTheme="minorBidi" w:hAnsiTheme="minorBidi" w:cstheme="minorBidi"/>
        </w:rPr>
      </w:pPr>
      <w:r w:rsidRPr="00C864C5">
        <w:rPr>
          <w:rFonts w:asciiTheme="minorBidi" w:hAnsiTheme="minorBidi" w:cstheme="minorBidi"/>
        </w:rPr>
        <w:lastRenderedPageBreak/>
        <w:t xml:space="preserve">World Health Organization-b 2016. Implementing Rio: Monitoring Action </w:t>
      </w:r>
      <w:proofErr w:type="gramStart"/>
      <w:r w:rsidRPr="00C864C5">
        <w:rPr>
          <w:rFonts w:asciiTheme="minorBidi" w:hAnsiTheme="minorBidi" w:cstheme="minorBidi"/>
        </w:rPr>
        <w:t>On</w:t>
      </w:r>
      <w:proofErr w:type="gramEnd"/>
      <w:r w:rsidRPr="00C864C5">
        <w:rPr>
          <w:rFonts w:asciiTheme="minorBidi" w:hAnsiTheme="minorBidi" w:cstheme="minorBidi"/>
        </w:rPr>
        <w:t xml:space="preserve"> The Social Determinants Of Health, Background Paper. Technical Meeting </w:t>
      </w:r>
      <w:proofErr w:type="gramStart"/>
      <w:r w:rsidRPr="00C864C5">
        <w:rPr>
          <w:rFonts w:asciiTheme="minorBidi" w:hAnsiTheme="minorBidi" w:cstheme="minorBidi"/>
        </w:rPr>
        <w:t>For</w:t>
      </w:r>
      <w:proofErr w:type="gramEnd"/>
      <w:r w:rsidRPr="00C864C5">
        <w:rPr>
          <w:rFonts w:asciiTheme="minorBidi" w:hAnsiTheme="minorBidi" w:cstheme="minorBidi"/>
        </w:rPr>
        <w:t xml:space="preserve"> Measuring And Monitoring Action On The Social Determinants Of Health, Ottawa, Canada: 20–22 June 2016.</w:t>
      </w:r>
    </w:p>
    <w:p w14:paraId="345E80B6" w14:textId="77777777" w:rsidR="0043339D" w:rsidRPr="00C864C5" w:rsidRDefault="0043339D" w:rsidP="004B7EF7">
      <w:pPr>
        <w:pStyle w:val="Default"/>
        <w:spacing w:line="360" w:lineRule="auto"/>
        <w:ind w:left="540" w:hanging="540"/>
        <w:jc w:val="both"/>
        <w:rPr>
          <w:rFonts w:asciiTheme="minorBidi" w:hAnsiTheme="minorBidi" w:cstheme="minorBidi"/>
          <w:sz w:val="22"/>
          <w:szCs w:val="22"/>
        </w:rPr>
      </w:pPr>
      <w:r w:rsidRPr="00C864C5">
        <w:rPr>
          <w:rFonts w:asciiTheme="minorBidi" w:hAnsiTheme="minorBidi" w:cstheme="minorBidi"/>
          <w:sz w:val="22"/>
          <w:szCs w:val="22"/>
        </w:rPr>
        <w:t xml:space="preserve">World Health Organization. Health and well-being profile of the Eastern Mediterranean Region: an overview of the health situation in the Region and its countries in 2019. Cairo: WHO Regional Office for the Eastern Mediterranean; 2020. </w:t>
      </w:r>
      <w:proofErr w:type="spellStart"/>
      <w:r w:rsidRPr="00C864C5">
        <w:rPr>
          <w:rFonts w:asciiTheme="minorBidi" w:hAnsiTheme="minorBidi" w:cstheme="minorBidi"/>
          <w:sz w:val="22"/>
          <w:szCs w:val="22"/>
        </w:rPr>
        <w:t>Licence</w:t>
      </w:r>
      <w:proofErr w:type="spellEnd"/>
      <w:r w:rsidRPr="00C864C5">
        <w:rPr>
          <w:rFonts w:asciiTheme="minorBidi" w:hAnsiTheme="minorBidi" w:cstheme="minorBidi"/>
          <w:sz w:val="22"/>
          <w:szCs w:val="22"/>
        </w:rPr>
        <w:t>: CC BY-NC-SA 3.0 IGO.</w:t>
      </w:r>
    </w:p>
    <w:p w14:paraId="287C9372" w14:textId="77777777" w:rsidR="0043339D" w:rsidRPr="00C864C5" w:rsidRDefault="0043339D" w:rsidP="004B7EF7">
      <w:pPr>
        <w:pStyle w:val="Default"/>
        <w:spacing w:line="360" w:lineRule="auto"/>
        <w:ind w:left="540" w:hanging="540"/>
        <w:jc w:val="both"/>
        <w:rPr>
          <w:rFonts w:asciiTheme="minorBidi" w:hAnsiTheme="minorBidi" w:cstheme="minorBidi"/>
          <w:color w:val="434343"/>
          <w:sz w:val="22"/>
          <w:szCs w:val="22"/>
          <w:shd w:val="clear" w:color="auto" w:fill="FFFFFF"/>
        </w:rPr>
      </w:pPr>
      <w:r w:rsidRPr="00C864C5">
        <w:rPr>
          <w:rFonts w:asciiTheme="minorBidi" w:hAnsiTheme="minorBidi" w:cstheme="minorBidi"/>
          <w:color w:val="434343"/>
          <w:sz w:val="22"/>
          <w:szCs w:val="22"/>
          <w:shd w:val="clear" w:color="auto" w:fill="FFFFFF"/>
        </w:rPr>
        <w:t>World Health Organization; Regional Office for Europe 2020. Health 2020: a European policy framework supporting actions across government and society for health and well-being. Copenhagen. (http://www. euro.who.int/</w:t>
      </w:r>
      <w:proofErr w:type="spellStart"/>
      <w:r w:rsidRPr="00C864C5">
        <w:rPr>
          <w:rFonts w:asciiTheme="minorBidi" w:hAnsiTheme="minorBidi" w:cstheme="minorBidi"/>
          <w:color w:val="434343"/>
          <w:sz w:val="22"/>
          <w:szCs w:val="22"/>
          <w:shd w:val="clear" w:color="auto" w:fill="FFFFFF"/>
        </w:rPr>
        <w:t>en</w:t>
      </w:r>
      <w:proofErr w:type="spellEnd"/>
      <w:r w:rsidRPr="00C864C5">
        <w:rPr>
          <w:rFonts w:asciiTheme="minorBidi" w:hAnsiTheme="minorBidi" w:cstheme="minorBidi"/>
          <w:color w:val="434343"/>
          <w:sz w:val="22"/>
          <w:szCs w:val="22"/>
          <w:shd w:val="clear" w:color="auto" w:fill="FFFFFF"/>
        </w:rPr>
        <w:t>/what-we-do/health-topics/health-policy/ health-2020-the-european-policy-for-health-and-well-being.</w:t>
      </w:r>
    </w:p>
    <w:p w14:paraId="52A1F17F" w14:textId="3F2806E1" w:rsidR="0043339D" w:rsidRPr="00C864C5" w:rsidRDefault="0043339D" w:rsidP="004B7EF7">
      <w:pPr>
        <w:pStyle w:val="Bibliography"/>
        <w:spacing w:after="0" w:line="360" w:lineRule="auto"/>
        <w:ind w:left="540" w:hanging="540"/>
        <w:jc w:val="both"/>
        <w:rPr>
          <w:rFonts w:asciiTheme="minorBidi" w:hAnsiTheme="minorBidi"/>
        </w:rPr>
      </w:pPr>
      <w:proofErr w:type="gramStart"/>
      <w:r w:rsidRPr="00C864C5">
        <w:rPr>
          <w:rFonts w:asciiTheme="minorBidi" w:hAnsiTheme="minorBidi"/>
        </w:rPr>
        <w:t>WHO.</w:t>
      </w:r>
      <w:proofErr w:type="gramEnd"/>
      <w:r w:rsidRPr="00C864C5">
        <w:rPr>
          <w:rFonts w:asciiTheme="minorBidi" w:hAnsiTheme="minorBidi"/>
        </w:rPr>
        <w:t xml:space="preserve"> WHO, USAID, World Bank, Countries and Partners Align on New Way Forward to Measure Impact of Country Health Programs, </w:t>
      </w:r>
      <w:proofErr w:type="gramStart"/>
      <w:r w:rsidRPr="00C864C5">
        <w:rPr>
          <w:rFonts w:asciiTheme="minorBidi" w:hAnsiTheme="minorBidi"/>
        </w:rPr>
        <w:t>WHO.</w:t>
      </w:r>
      <w:proofErr w:type="gramEnd"/>
      <w:r w:rsidRPr="00C864C5">
        <w:rPr>
          <w:rFonts w:asciiTheme="minorBidi" w:hAnsiTheme="minorBidi"/>
        </w:rPr>
        <w:t xml:space="preserve"> https://www.who.int/hrh/news/2015/measurement-summit2015/en/</w:t>
      </w:r>
    </w:p>
    <w:p w14:paraId="29BA7186" w14:textId="77777777" w:rsidR="0043339D" w:rsidRPr="00A35DF1" w:rsidRDefault="00B62B74" w:rsidP="004B7EF7">
      <w:pPr>
        <w:ind w:left="540" w:hanging="540"/>
        <w:rPr>
          <w:rStyle w:val="Hyperlink"/>
          <w:rFonts w:asciiTheme="minorBidi" w:hAnsiTheme="minorBidi" w:cstheme="minorBidi"/>
          <w:color w:val="2F4A8B"/>
        </w:rPr>
      </w:pPr>
      <w:hyperlink r:id="rId26" w:history="1">
        <w:proofErr w:type="spellStart"/>
        <w:r w:rsidR="0043339D" w:rsidRPr="00C864C5">
          <w:rPr>
            <w:rStyle w:val="Hyperlink"/>
            <w:rFonts w:asciiTheme="minorBidi" w:hAnsiTheme="minorBidi" w:cstheme="minorBidi"/>
            <w:color w:val="auto"/>
            <w:shd w:val="clear" w:color="auto" w:fill="FFFFFF"/>
          </w:rPr>
          <w:t>Yujin</w:t>
        </w:r>
        <w:proofErr w:type="spellEnd"/>
        <w:r w:rsidR="0043339D" w:rsidRPr="00C864C5">
          <w:rPr>
            <w:rStyle w:val="Hyperlink"/>
            <w:rFonts w:asciiTheme="minorBidi" w:hAnsiTheme="minorBidi" w:cstheme="minorBidi"/>
            <w:color w:val="auto"/>
            <w:shd w:val="clear" w:color="auto" w:fill="FFFFFF"/>
          </w:rPr>
          <w:t xml:space="preserve"> Lee</w:t>
        </w:r>
      </w:hyperlink>
      <w:r w:rsidR="0043339D" w:rsidRPr="00C864C5">
        <w:rPr>
          <w:rFonts w:asciiTheme="minorBidi" w:hAnsiTheme="minorBidi" w:cstheme="minorBidi"/>
          <w:shd w:val="clear" w:color="auto" w:fill="FFFFFF"/>
        </w:rPr>
        <w:t>,</w:t>
      </w:r>
      <w:r w:rsidR="0043339D" w:rsidRPr="00C864C5">
        <w:rPr>
          <w:rFonts w:asciiTheme="minorBidi" w:hAnsiTheme="minorBidi" w:cstheme="minorBidi"/>
          <w:shd w:val="clear" w:color="auto" w:fill="FFFFFF"/>
          <w:vertAlign w:val="superscript"/>
        </w:rPr>
        <w:t xml:space="preserve"> </w:t>
      </w:r>
      <w:hyperlink r:id="rId27" w:history="1">
        <w:proofErr w:type="spellStart"/>
        <w:r w:rsidR="0043339D" w:rsidRPr="00C864C5">
          <w:rPr>
            <w:rStyle w:val="Hyperlink"/>
            <w:rFonts w:asciiTheme="minorBidi" w:hAnsiTheme="minorBidi" w:cstheme="minorBidi"/>
            <w:color w:val="auto"/>
            <w:shd w:val="clear" w:color="auto" w:fill="FFFFFF"/>
          </w:rPr>
          <w:t>Dariush</w:t>
        </w:r>
        <w:proofErr w:type="spellEnd"/>
        <w:r w:rsidR="0043339D" w:rsidRPr="00C864C5">
          <w:rPr>
            <w:rStyle w:val="Hyperlink"/>
            <w:rFonts w:asciiTheme="minorBidi" w:hAnsiTheme="minorBidi" w:cstheme="minorBidi"/>
            <w:color w:val="auto"/>
            <w:shd w:val="clear" w:color="auto" w:fill="FFFFFF"/>
          </w:rPr>
          <w:t xml:space="preserve"> </w:t>
        </w:r>
        <w:proofErr w:type="spellStart"/>
        <w:r w:rsidR="0043339D" w:rsidRPr="00C864C5">
          <w:rPr>
            <w:rStyle w:val="Hyperlink"/>
            <w:rFonts w:asciiTheme="minorBidi" w:hAnsiTheme="minorBidi" w:cstheme="minorBidi"/>
            <w:color w:val="auto"/>
            <w:shd w:val="clear" w:color="auto" w:fill="FFFFFF"/>
          </w:rPr>
          <w:t>Mozaffarian</w:t>
        </w:r>
        <w:proofErr w:type="spellEnd"/>
      </w:hyperlink>
      <w:r w:rsidR="0043339D" w:rsidRPr="00C864C5">
        <w:rPr>
          <w:rFonts w:asciiTheme="minorBidi" w:hAnsiTheme="minorBidi" w:cstheme="minorBidi"/>
          <w:shd w:val="clear" w:color="auto" w:fill="FFFFFF"/>
        </w:rPr>
        <w:t xml:space="preserve">, </w:t>
      </w:r>
      <w:hyperlink r:id="rId28" w:history="1">
        <w:r w:rsidR="0043339D" w:rsidRPr="00C864C5">
          <w:rPr>
            <w:rStyle w:val="Hyperlink"/>
            <w:rFonts w:asciiTheme="minorBidi" w:hAnsiTheme="minorBidi" w:cstheme="minorBidi"/>
            <w:color w:val="auto"/>
            <w:shd w:val="clear" w:color="auto" w:fill="FFFFFF"/>
          </w:rPr>
          <w:t>Stephen Sy</w:t>
        </w:r>
      </w:hyperlink>
      <w:r w:rsidR="0043339D" w:rsidRPr="00C864C5">
        <w:rPr>
          <w:rFonts w:asciiTheme="minorBidi" w:hAnsiTheme="minorBidi" w:cstheme="minorBidi"/>
          <w:shd w:val="clear" w:color="auto" w:fill="FFFFFF"/>
        </w:rPr>
        <w:t xml:space="preserve">, </w:t>
      </w:r>
      <w:hyperlink r:id="rId29" w:history="1">
        <w:r w:rsidR="0043339D" w:rsidRPr="00C864C5">
          <w:rPr>
            <w:rStyle w:val="Hyperlink"/>
            <w:rFonts w:asciiTheme="minorBidi" w:hAnsiTheme="minorBidi" w:cstheme="minorBidi"/>
            <w:color w:val="auto"/>
            <w:shd w:val="clear" w:color="auto" w:fill="FFFFFF"/>
          </w:rPr>
          <w:t>Yue Huang</w:t>
        </w:r>
      </w:hyperlink>
      <w:r w:rsidR="0043339D" w:rsidRPr="00C864C5">
        <w:rPr>
          <w:rFonts w:asciiTheme="minorBidi" w:hAnsiTheme="minorBidi" w:cstheme="minorBidi"/>
          <w:shd w:val="clear" w:color="auto" w:fill="FFFFFF"/>
        </w:rPr>
        <w:t>,</w:t>
      </w:r>
      <w:r w:rsidR="0043339D" w:rsidRPr="00C864C5">
        <w:rPr>
          <w:rFonts w:asciiTheme="minorBidi" w:hAnsiTheme="minorBidi" w:cstheme="minorBidi"/>
          <w:shd w:val="clear" w:color="auto" w:fill="FFFFFF"/>
          <w:vertAlign w:val="superscript"/>
        </w:rPr>
        <w:t xml:space="preserve"> </w:t>
      </w:r>
      <w:hyperlink r:id="rId30" w:history="1">
        <w:proofErr w:type="spellStart"/>
        <w:r w:rsidR="0043339D" w:rsidRPr="00C864C5">
          <w:rPr>
            <w:rStyle w:val="Hyperlink"/>
            <w:rFonts w:asciiTheme="minorBidi" w:hAnsiTheme="minorBidi" w:cstheme="minorBidi"/>
            <w:color w:val="auto"/>
            <w:shd w:val="clear" w:color="auto" w:fill="FFFFFF"/>
          </w:rPr>
          <w:t>Junxiu</w:t>
        </w:r>
        <w:proofErr w:type="spellEnd"/>
        <w:r w:rsidR="0043339D" w:rsidRPr="00C864C5">
          <w:rPr>
            <w:rStyle w:val="Hyperlink"/>
            <w:rFonts w:asciiTheme="minorBidi" w:hAnsiTheme="minorBidi" w:cstheme="minorBidi"/>
            <w:color w:val="auto"/>
            <w:shd w:val="clear" w:color="auto" w:fill="FFFFFF"/>
          </w:rPr>
          <w:t xml:space="preserve"> Liu</w:t>
        </w:r>
      </w:hyperlink>
      <w:r w:rsidR="0043339D" w:rsidRPr="00C864C5">
        <w:rPr>
          <w:rFonts w:asciiTheme="minorBidi" w:hAnsiTheme="minorBidi" w:cstheme="minorBidi"/>
          <w:shd w:val="clear" w:color="auto" w:fill="FFFFFF"/>
        </w:rPr>
        <w:t xml:space="preserve">, </w:t>
      </w:r>
      <w:hyperlink r:id="rId31" w:history="1">
        <w:r w:rsidR="0043339D" w:rsidRPr="00C864C5">
          <w:rPr>
            <w:rStyle w:val="Hyperlink"/>
            <w:rFonts w:asciiTheme="minorBidi" w:hAnsiTheme="minorBidi" w:cstheme="minorBidi"/>
            <w:color w:val="auto"/>
            <w:shd w:val="clear" w:color="auto" w:fill="FFFFFF"/>
          </w:rPr>
          <w:t>Parke E. Wilde</w:t>
        </w:r>
      </w:hyperlink>
      <w:r w:rsidR="0043339D" w:rsidRPr="00C864C5">
        <w:rPr>
          <w:rFonts w:asciiTheme="minorBidi" w:hAnsiTheme="minorBidi" w:cstheme="minorBidi"/>
          <w:shd w:val="clear" w:color="auto" w:fill="FFFFFF"/>
        </w:rPr>
        <w:t>,</w:t>
      </w:r>
      <w:r w:rsidR="0043339D" w:rsidRPr="00C864C5">
        <w:rPr>
          <w:rFonts w:asciiTheme="minorBidi" w:hAnsiTheme="minorBidi" w:cstheme="minorBidi"/>
          <w:shd w:val="clear" w:color="auto" w:fill="FFFFFF"/>
          <w:vertAlign w:val="superscript"/>
        </w:rPr>
        <w:t>1</w:t>
      </w:r>
      <w:r w:rsidR="0043339D" w:rsidRPr="00C864C5">
        <w:rPr>
          <w:rFonts w:asciiTheme="minorBidi" w:hAnsiTheme="minorBidi" w:cstheme="minorBidi"/>
          <w:shd w:val="clear" w:color="auto" w:fill="FFFFFF"/>
        </w:rPr>
        <w:t xml:space="preserve"> </w:t>
      </w:r>
      <w:hyperlink r:id="rId32" w:history="1">
        <w:proofErr w:type="spellStart"/>
        <w:r w:rsidR="0043339D" w:rsidRPr="00C864C5">
          <w:rPr>
            <w:rStyle w:val="Hyperlink"/>
            <w:rFonts w:asciiTheme="minorBidi" w:hAnsiTheme="minorBidi" w:cstheme="minorBidi"/>
            <w:color w:val="auto"/>
            <w:shd w:val="clear" w:color="auto" w:fill="FFFFFF"/>
          </w:rPr>
          <w:t>Shafika</w:t>
        </w:r>
        <w:proofErr w:type="spellEnd"/>
        <w:r w:rsidR="0043339D" w:rsidRPr="00C864C5">
          <w:rPr>
            <w:rStyle w:val="Hyperlink"/>
            <w:rFonts w:asciiTheme="minorBidi" w:hAnsiTheme="minorBidi" w:cstheme="minorBidi"/>
            <w:color w:val="auto"/>
            <w:shd w:val="clear" w:color="auto" w:fill="FFFFFF"/>
          </w:rPr>
          <w:t xml:space="preserve"> Abrahams-</w:t>
        </w:r>
        <w:proofErr w:type="spellStart"/>
        <w:r w:rsidR="0043339D" w:rsidRPr="00C864C5">
          <w:rPr>
            <w:rStyle w:val="Hyperlink"/>
            <w:rFonts w:asciiTheme="minorBidi" w:hAnsiTheme="minorBidi" w:cstheme="minorBidi"/>
            <w:color w:val="auto"/>
            <w:shd w:val="clear" w:color="auto" w:fill="FFFFFF"/>
          </w:rPr>
          <w:t>Gessel</w:t>
        </w:r>
        <w:proofErr w:type="spellEnd"/>
      </w:hyperlink>
      <w:r w:rsidR="0043339D" w:rsidRPr="00C864C5">
        <w:rPr>
          <w:rFonts w:asciiTheme="minorBidi" w:hAnsiTheme="minorBidi" w:cstheme="minorBidi"/>
          <w:shd w:val="clear" w:color="auto" w:fill="FFFFFF"/>
        </w:rPr>
        <w:t>,</w:t>
      </w:r>
      <w:r w:rsidR="0043339D" w:rsidRPr="00C864C5">
        <w:rPr>
          <w:rFonts w:asciiTheme="minorBidi" w:hAnsiTheme="minorBidi" w:cstheme="minorBidi"/>
        </w:rPr>
        <w:t xml:space="preserve"> </w:t>
      </w:r>
      <w:hyperlink r:id="rId33" w:history="1">
        <w:r w:rsidR="0043339D" w:rsidRPr="00C864C5">
          <w:rPr>
            <w:rStyle w:val="Hyperlink"/>
            <w:rFonts w:asciiTheme="minorBidi" w:hAnsiTheme="minorBidi" w:cstheme="minorBidi"/>
            <w:color w:val="auto"/>
            <w:shd w:val="clear" w:color="auto" w:fill="FFFFFF"/>
          </w:rPr>
          <w:t xml:space="preserve">Thiago de Souza </w:t>
        </w:r>
        <w:proofErr w:type="spellStart"/>
        <w:r w:rsidR="0043339D" w:rsidRPr="00C864C5">
          <w:rPr>
            <w:rStyle w:val="Hyperlink"/>
            <w:rFonts w:asciiTheme="minorBidi" w:hAnsiTheme="minorBidi" w:cstheme="minorBidi"/>
            <w:color w:val="auto"/>
            <w:shd w:val="clear" w:color="auto" w:fill="FFFFFF"/>
          </w:rPr>
          <w:t>Veiga</w:t>
        </w:r>
        <w:proofErr w:type="spellEnd"/>
        <w:r w:rsidR="0043339D" w:rsidRPr="00C864C5">
          <w:rPr>
            <w:rStyle w:val="Hyperlink"/>
            <w:rFonts w:asciiTheme="minorBidi" w:hAnsiTheme="minorBidi" w:cstheme="minorBidi"/>
            <w:color w:val="auto"/>
            <w:shd w:val="clear" w:color="auto" w:fill="FFFFFF"/>
          </w:rPr>
          <w:t xml:space="preserve"> Jardim</w:t>
        </w:r>
      </w:hyperlink>
      <w:r w:rsidR="0043339D" w:rsidRPr="00C864C5">
        <w:rPr>
          <w:rFonts w:asciiTheme="minorBidi" w:hAnsiTheme="minorBidi" w:cstheme="minorBidi"/>
          <w:shd w:val="clear" w:color="auto" w:fill="FFFFFF"/>
        </w:rPr>
        <w:t>,</w:t>
      </w:r>
      <w:r w:rsidR="0043339D" w:rsidRPr="00C864C5">
        <w:rPr>
          <w:rFonts w:asciiTheme="minorBidi" w:hAnsiTheme="minorBidi" w:cstheme="minorBidi"/>
        </w:rPr>
        <w:t xml:space="preserve"> </w:t>
      </w:r>
      <w:hyperlink r:id="rId34" w:history="1">
        <w:r w:rsidR="0043339D" w:rsidRPr="00C864C5">
          <w:rPr>
            <w:rStyle w:val="Hyperlink"/>
            <w:rFonts w:asciiTheme="minorBidi" w:hAnsiTheme="minorBidi" w:cstheme="minorBidi"/>
            <w:color w:val="auto"/>
            <w:shd w:val="clear" w:color="auto" w:fill="FFFFFF"/>
          </w:rPr>
          <w:t xml:space="preserve">Thomas A. </w:t>
        </w:r>
        <w:proofErr w:type="spellStart"/>
        <w:r w:rsidR="0043339D" w:rsidRPr="00C864C5">
          <w:rPr>
            <w:rStyle w:val="Hyperlink"/>
            <w:rFonts w:asciiTheme="minorBidi" w:hAnsiTheme="minorBidi" w:cstheme="minorBidi"/>
            <w:color w:val="auto"/>
            <w:shd w:val="clear" w:color="auto" w:fill="FFFFFF"/>
          </w:rPr>
          <w:t>Gaziano</w:t>
        </w:r>
        <w:proofErr w:type="spellEnd"/>
      </w:hyperlink>
      <w:r w:rsidR="0043339D" w:rsidRPr="00C864C5">
        <w:rPr>
          <w:rFonts w:asciiTheme="minorBidi" w:hAnsiTheme="minorBidi" w:cstheme="minorBidi"/>
          <w:shd w:val="clear" w:color="auto" w:fill="FFFFFF"/>
        </w:rPr>
        <w:t xml:space="preserve"> and </w:t>
      </w:r>
      <w:hyperlink r:id="rId35" w:history="1">
        <w:r w:rsidR="0043339D" w:rsidRPr="00C864C5">
          <w:rPr>
            <w:rStyle w:val="Hyperlink"/>
            <w:rFonts w:asciiTheme="minorBidi" w:hAnsiTheme="minorBidi" w:cstheme="minorBidi"/>
            <w:color w:val="auto"/>
            <w:shd w:val="clear" w:color="auto" w:fill="FFFFFF"/>
          </w:rPr>
          <w:t>Renata Micha</w:t>
        </w:r>
      </w:hyperlink>
      <w:r w:rsidR="0043339D" w:rsidRPr="00C864C5">
        <w:rPr>
          <w:rFonts w:asciiTheme="minorBidi" w:hAnsiTheme="minorBidi" w:cstheme="minorBidi"/>
        </w:rPr>
        <w:t xml:space="preserve">. Cost-effectiveness of financial incentives for improving diet and health through Medicare and Medicaid: A microsimulation study. </w:t>
      </w:r>
      <w:hyperlink r:id="rId36" w:history="1">
        <w:proofErr w:type="spellStart"/>
        <w:r w:rsidR="0043339D" w:rsidRPr="00C864C5">
          <w:rPr>
            <w:rStyle w:val="Hyperlink"/>
            <w:rFonts w:asciiTheme="minorBidi" w:hAnsiTheme="minorBidi" w:cstheme="minorBidi"/>
            <w:color w:val="2F4A8B"/>
          </w:rPr>
          <w:t>PLoS</w:t>
        </w:r>
        <w:proofErr w:type="spellEnd"/>
        <w:r w:rsidR="0043339D" w:rsidRPr="00C864C5">
          <w:rPr>
            <w:rStyle w:val="Hyperlink"/>
            <w:rFonts w:asciiTheme="minorBidi" w:hAnsiTheme="minorBidi" w:cstheme="minorBidi"/>
            <w:color w:val="2F4A8B"/>
          </w:rPr>
          <w:t xml:space="preserve"> Med.</w:t>
        </w:r>
      </w:hyperlink>
      <w:r w:rsidR="0043339D" w:rsidRPr="00C864C5">
        <w:rPr>
          <w:rFonts w:asciiTheme="minorBidi" w:hAnsiTheme="minorBidi" w:cstheme="minorBidi"/>
          <w:color w:val="000000"/>
        </w:rPr>
        <w:t xml:space="preserve"> 2019 Mar; 16(3): e1002761. </w:t>
      </w:r>
      <w:r w:rsidR="0043339D" w:rsidRPr="00C864C5">
        <w:rPr>
          <w:rStyle w:val="fm-vol-iss-date"/>
          <w:rFonts w:asciiTheme="minorBidi" w:hAnsiTheme="minorBidi" w:cstheme="minorBidi"/>
          <w:color w:val="000000"/>
        </w:rPr>
        <w:t>Published online 2019 Mar 19. </w:t>
      </w:r>
      <w:proofErr w:type="spellStart"/>
      <w:r w:rsidR="0043339D" w:rsidRPr="00C864C5">
        <w:rPr>
          <w:rStyle w:val="doi"/>
          <w:rFonts w:asciiTheme="minorBidi" w:hAnsiTheme="minorBidi" w:cstheme="minorBidi"/>
          <w:color w:val="000000"/>
        </w:rPr>
        <w:t>doi</w:t>
      </w:r>
      <w:proofErr w:type="spellEnd"/>
      <w:r w:rsidR="0043339D" w:rsidRPr="00C864C5">
        <w:rPr>
          <w:rStyle w:val="doi"/>
          <w:rFonts w:asciiTheme="minorBidi" w:hAnsiTheme="minorBidi" w:cstheme="minorBidi"/>
          <w:color w:val="000000"/>
        </w:rPr>
        <w:t>: </w:t>
      </w:r>
      <w:hyperlink r:id="rId37" w:tgtFrame="_blank" w:history="1">
        <w:r w:rsidR="0043339D" w:rsidRPr="00C864C5">
          <w:rPr>
            <w:rStyle w:val="Hyperlink"/>
            <w:rFonts w:asciiTheme="minorBidi" w:hAnsiTheme="minorBidi" w:cstheme="minorBidi"/>
            <w:color w:val="2F4A8B"/>
          </w:rPr>
          <w:t>10.1371/journal.pmed.1002761</w:t>
        </w:r>
      </w:hyperlink>
      <w:r w:rsidR="0043339D" w:rsidRPr="00A35DF1">
        <w:rPr>
          <w:rStyle w:val="Hyperlink"/>
          <w:rFonts w:asciiTheme="minorBidi" w:hAnsiTheme="minorBidi" w:cstheme="minorBidi"/>
          <w:color w:val="2F4A8B"/>
        </w:rPr>
        <w:t>.</w:t>
      </w:r>
    </w:p>
    <w:p w14:paraId="5CD52BE5" w14:textId="271E0E6E" w:rsidR="001937D5" w:rsidRDefault="001937D5">
      <w:pPr>
        <w:spacing w:line="240" w:lineRule="auto"/>
        <w:rPr>
          <w:rFonts w:asciiTheme="minorBidi" w:hAnsiTheme="minorBidi"/>
        </w:rPr>
      </w:pPr>
      <w:r>
        <w:rPr>
          <w:rFonts w:asciiTheme="minorBidi" w:hAnsiTheme="minorBidi"/>
        </w:rPr>
        <w:br w:type="page"/>
      </w:r>
    </w:p>
    <w:p w14:paraId="471C5CE4" w14:textId="06917518" w:rsidR="0043339D" w:rsidRDefault="00A83E11" w:rsidP="001937D5">
      <w:pPr>
        <w:pStyle w:val="Heading1"/>
      </w:pPr>
      <w:bookmarkStart w:id="186" w:name="_Toc81138439"/>
      <w:bookmarkStart w:id="187" w:name="_Toc83818781"/>
      <w:bookmarkStart w:id="188" w:name="_Toc83819395"/>
      <w:bookmarkStart w:id="189" w:name="_Toc84408420"/>
      <w:r>
        <w:lastRenderedPageBreak/>
        <w:t>Annexes</w:t>
      </w:r>
      <w:bookmarkEnd w:id="186"/>
      <w:bookmarkEnd w:id="187"/>
      <w:bookmarkEnd w:id="188"/>
      <w:bookmarkEnd w:id="189"/>
    </w:p>
    <w:p w14:paraId="17FD1495" w14:textId="630B5245" w:rsidR="001937D5" w:rsidRDefault="001937D5" w:rsidP="001937D5"/>
    <w:p w14:paraId="44601F78" w14:textId="36A428D8" w:rsidR="001937D5" w:rsidRDefault="001937D5">
      <w:pPr>
        <w:spacing w:line="240" w:lineRule="auto"/>
      </w:pPr>
      <w:r>
        <w:br w:type="page"/>
      </w:r>
    </w:p>
    <w:p w14:paraId="52BFAFAC" w14:textId="4DC1EEF6" w:rsidR="001937D5" w:rsidRDefault="00A83E11" w:rsidP="0061316D">
      <w:pPr>
        <w:pStyle w:val="Heading2"/>
      </w:pPr>
      <w:bookmarkStart w:id="190" w:name="_Toc81138440"/>
      <w:bookmarkStart w:id="191" w:name="_Toc83818782"/>
      <w:bookmarkStart w:id="192" w:name="_Toc83819396"/>
      <w:bookmarkStart w:id="193" w:name="_Toc84408421"/>
      <w:r>
        <w:lastRenderedPageBreak/>
        <w:t>Annex</w:t>
      </w:r>
      <w:r w:rsidR="001937D5">
        <w:t xml:space="preserve"> A: Methodology</w:t>
      </w:r>
      <w:bookmarkEnd w:id="190"/>
      <w:bookmarkEnd w:id="191"/>
      <w:bookmarkEnd w:id="192"/>
      <w:bookmarkEnd w:id="193"/>
      <w:r w:rsidR="00A74F60">
        <w:t xml:space="preserve"> </w:t>
      </w:r>
    </w:p>
    <w:p w14:paraId="1ACBDC06" w14:textId="77777777" w:rsidR="001937D5" w:rsidRDefault="001937D5" w:rsidP="001937D5"/>
    <w:p w14:paraId="19C4A32E" w14:textId="67CD2BC1" w:rsidR="001937D5" w:rsidRPr="0057155F" w:rsidRDefault="0061316D" w:rsidP="0061316D">
      <w:pPr>
        <w:pStyle w:val="Heading3"/>
      </w:pPr>
      <w:bookmarkStart w:id="194" w:name="_Toc72945483"/>
      <w:bookmarkStart w:id="195" w:name="_Toc72949599"/>
      <w:bookmarkStart w:id="196" w:name="_Toc72950095"/>
      <w:bookmarkStart w:id="197" w:name="_Toc72999752"/>
      <w:r>
        <w:t>A</w:t>
      </w:r>
      <w:r w:rsidR="001937D5" w:rsidRPr="0057155F">
        <w:t>.1</w:t>
      </w:r>
      <w:r w:rsidR="001937D5">
        <w:t>.</w:t>
      </w:r>
      <w:r w:rsidR="001937D5" w:rsidRPr="0057155F">
        <w:t xml:space="preserve"> Literature review</w:t>
      </w:r>
      <w:bookmarkEnd w:id="194"/>
      <w:bookmarkEnd w:id="195"/>
      <w:bookmarkEnd w:id="196"/>
      <w:bookmarkEnd w:id="197"/>
    </w:p>
    <w:p w14:paraId="27B4DCC0" w14:textId="77777777" w:rsidR="001937D5" w:rsidRDefault="001937D5" w:rsidP="001937D5">
      <w:r>
        <w:t>The language used for the search was English, and covered two areas:</w:t>
      </w:r>
    </w:p>
    <w:p w14:paraId="60857EB3" w14:textId="77777777" w:rsidR="001937D5" w:rsidRDefault="001937D5" w:rsidP="001937D5">
      <w:pPr>
        <w:pStyle w:val="ListParagraph"/>
        <w:numPr>
          <w:ilvl w:val="2"/>
          <w:numId w:val="1"/>
        </w:numPr>
        <w:ind w:left="720"/>
      </w:pPr>
      <w:r>
        <w:t>Literature on HIS, SDH and health equity describing their conceptualization and data requirements.</w:t>
      </w:r>
    </w:p>
    <w:p w14:paraId="7C5A87C5" w14:textId="77777777" w:rsidR="001937D5" w:rsidRDefault="001937D5" w:rsidP="001937D5">
      <w:pPr>
        <w:pStyle w:val="ListParagraph"/>
        <w:numPr>
          <w:ilvl w:val="2"/>
          <w:numId w:val="1"/>
        </w:numPr>
        <w:ind w:left="720"/>
      </w:pPr>
      <w:r>
        <w:t xml:space="preserve">International, </w:t>
      </w:r>
      <w:proofErr w:type="gramStart"/>
      <w:r>
        <w:t>regional</w:t>
      </w:r>
      <w:proofErr w:type="gramEnd"/>
      <w:r>
        <w:t xml:space="preserve"> and national literature and initiatives for health information system strengthening (HISS) and for applying the equity lens in HIS.</w:t>
      </w:r>
    </w:p>
    <w:p w14:paraId="38177C3D" w14:textId="77777777" w:rsidR="001937D5" w:rsidRDefault="001937D5" w:rsidP="001937D5"/>
    <w:p w14:paraId="78060ABF" w14:textId="77777777" w:rsidR="001937D5" w:rsidRDefault="001937D5" w:rsidP="001937D5">
      <w:r>
        <w:t>The search used the PubMed, Google Scholar, and Google search engine with the terms “health systems”, “health systems strengthening”, “social determinants of health”, “health inequalities”, “SRH” “SRH inequities” “indicators” “inequality measures”, “SDGs”. The search also covered outputs from international bodies. (i.e., World Health Organization, United Nations Population Fund, World Bank, ….)</w:t>
      </w:r>
    </w:p>
    <w:p w14:paraId="1AD73262" w14:textId="77777777" w:rsidR="001937D5" w:rsidRDefault="001937D5" w:rsidP="001937D5"/>
    <w:p w14:paraId="4CB489C8" w14:textId="09F9DF7D" w:rsidR="001937D5" w:rsidRDefault="0061316D" w:rsidP="0061316D">
      <w:pPr>
        <w:pStyle w:val="Heading3"/>
      </w:pPr>
      <w:bookmarkStart w:id="198" w:name="_Toc72945484"/>
      <w:bookmarkStart w:id="199" w:name="_Toc72949600"/>
      <w:bookmarkStart w:id="200" w:name="_Toc72950096"/>
      <w:bookmarkStart w:id="201" w:name="_Toc72999753"/>
      <w:r>
        <w:t>A</w:t>
      </w:r>
      <w:r w:rsidR="001937D5">
        <w:t>.2. Search for data sources</w:t>
      </w:r>
      <w:bookmarkEnd w:id="198"/>
      <w:bookmarkEnd w:id="199"/>
      <w:bookmarkEnd w:id="200"/>
      <w:bookmarkEnd w:id="201"/>
    </w:p>
    <w:p w14:paraId="45168FA1" w14:textId="77777777" w:rsidR="001937D5" w:rsidRDefault="001937D5" w:rsidP="001937D5">
      <w:r>
        <w:t xml:space="preserve">A second search was directed to review the international and national databases. The search aimed at identifying the available databases and their components - structures, list of indicators, inequality measures, </w:t>
      </w:r>
      <w:proofErr w:type="gramStart"/>
      <w:r>
        <w:t>availability</w:t>
      </w:r>
      <w:proofErr w:type="gramEnd"/>
      <w:r>
        <w:t xml:space="preserve"> and quality of data in general and in Arab countries in particular. The search used English and Arabic languages and used the above search engines. The key words used were “observatories”, “platforms’ “portals”, “dashboard” “indicators” “SDGs”. A specific health focus was also used with the terms “health observatories”, “health platforms’ “health portals, “health dashboard” “health indicators”, “health inequality indicators” “MENA countries” “Arab Countries”, “Eastern Mediterranean Countries”, “Developing countries”, “Jordan”, “Morocco”.</w:t>
      </w:r>
    </w:p>
    <w:p w14:paraId="0D90E264" w14:textId="77777777" w:rsidR="001937D5" w:rsidRDefault="001937D5" w:rsidP="001937D5">
      <w:r>
        <w:t xml:space="preserve"> </w:t>
      </w:r>
    </w:p>
    <w:p w14:paraId="0A49D413" w14:textId="77777777" w:rsidR="001937D5" w:rsidRDefault="001937D5" w:rsidP="001937D5">
      <w:r>
        <w:t>In addition, a search of MENA countries’ websites and large household surveys, was conducted to identify the available national information. The names of national MOH, HIS and statistical offices, as well as the names of large household surveys (example DHS, MICS, Family Health Survey, ……) were used.</w:t>
      </w:r>
    </w:p>
    <w:p w14:paraId="4D5983CA" w14:textId="77777777" w:rsidR="001937D5" w:rsidRDefault="001937D5" w:rsidP="001937D5"/>
    <w:p w14:paraId="7E21C0A2" w14:textId="0DFA093A" w:rsidR="001937D5" w:rsidRDefault="0061316D" w:rsidP="0061316D">
      <w:pPr>
        <w:pStyle w:val="Heading3"/>
      </w:pPr>
      <w:bookmarkStart w:id="202" w:name="_Toc72945485"/>
      <w:bookmarkStart w:id="203" w:name="_Toc72949601"/>
      <w:bookmarkStart w:id="204" w:name="_Toc72950097"/>
      <w:bookmarkStart w:id="205" w:name="_Toc72999754"/>
      <w:r>
        <w:lastRenderedPageBreak/>
        <w:t>A</w:t>
      </w:r>
      <w:r w:rsidR="001937D5">
        <w:t xml:space="preserve">.3. </w:t>
      </w:r>
      <w:bookmarkEnd w:id="202"/>
      <w:bookmarkEnd w:id="203"/>
      <w:bookmarkEnd w:id="204"/>
      <w:r w:rsidR="001937D5">
        <w:t>Search for the internationally recommended health-related measures</w:t>
      </w:r>
      <w:bookmarkEnd w:id="205"/>
    </w:p>
    <w:p w14:paraId="6FE80866" w14:textId="77777777" w:rsidR="001937D5" w:rsidRDefault="001937D5" w:rsidP="001937D5">
      <w:r>
        <w:t>A search was done to identify the internationally recommended health-related indicators. The search focused on the list of WHO indicators, the list of WHO indicators for the Eastern Mediterranean region, the UNFPA list of indicators and the SDGs indicators.</w:t>
      </w:r>
    </w:p>
    <w:p w14:paraId="33973382" w14:textId="77777777" w:rsidR="001937D5" w:rsidRDefault="001937D5" w:rsidP="001937D5">
      <w:r>
        <w:t xml:space="preserve"> </w:t>
      </w:r>
    </w:p>
    <w:p w14:paraId="4A9FBED8" w14:textId="77777777" w:rsidR="001937D5" w:rsidRDefault="001937D5" w:rsidP="001937D5">
      <w:r>
        <w:t xml:space="preserve">A similar search was done to identify the health inequality measures recommended in the literature. The search aimed at identifying their strengths, limitations and use in health-related databases.  </w:t>
      </w:r>
    </w:p>
    <w:p w14:paraId="6D693C48" w14:textId="77777777" w:rsidR="001937D5" w:rsidRDefault="001937D5" w:rsidP="001937D5"/>
    <w:p w14:paraId="4BDD75EB" w14:textId="7EFB7961" w:rsidR="001937D5" w:rsidRDefault="001937D5">
      <w:pPr>
        <w:spacing w:line="240" w:lineRule="auto"/>
      </w:pPr>
      <w:r>
        <w:br w:type="page"/>
      </w:r>
    </w:p>
    <w:p w14:paraId="46518B27" w14:textId="77777777" w:rsidR="0061316D" w:rsidRDefault="001937D5" w:rsidP="0061316D">
      <w:pPr>
        <w:pStyle w:val="Heading2"/>
      </w:pPr>
      <w:bookmarkStart w:id="206" w:name="_Toc83818783"/>
      <w:bookmarkStart w:id="207" w:name="_Toc83819397"/>
      <w:bookmarkStart w:id="208" w:name="_Toc84408422"/>
      <w:bookmarkStart w:id="209" w:name="_Toc81138442"/>
      <w:r w:rsidRPr="0061316D">
        <w:lastRenderedPageBreak/>
        <w:t>A</w:t>
      </w:r>
      <w:r w:rsidR="009777EB" w:rsidRPr="0061316D">
        <w:t>nnex</w:t>
      </w:r>
      <w:r w:rsidRPr="0061316D">
        <w:t xml:space="preserve"> </w:t>
      </w:r>
      <w:r w:rsidR="0061316D" w:rsidRPr="0061316D">
        <w:t>B</w:t>
      </w:r>
      <w:r w:rsidRPr="0061316D">
        <w:t xml:space="preserve">: </w:t>
      </w:r>
      <w:r w:rsidR="0061316D">
        <w:t>Data Sources</w:t>
      </w:r>
      <w:bookmarkEnd w:id="206"/>
      <w:bookmarkEnd w:id="207"/>
      <w:bookmarkEnd w:id="208"/>
    </w:p>
    <w:p w14:paraId="5816924F" w14:textId="77777777" w:rsidR="0061316D" w:rsidRDefault="0061316D" w:rsidP="0061316D"/>
    <w:p w14:paraId="106C6E42" w14:textId="613CD2A1" w:rsidR="001937D5" w:rsidRPr="0061316D" w:rsidRDefault="0061316D" w:rsidP="0061316D">
      <w:pPr>
        <w:pStyle w:val="Heading3"/>
      </w:pPr>
      <w:r>
        <w:t xml:space="preserve">B.1. </w:t>
      </w:r>
      <w:r w:rsidR="00B94A06" w:rsidRPr="0061316D">
        <w:t>International d</w:t>
      </w:r>
      <w:r w:rsidR="001937D5" w:rsidRPr="0061316D">
        <w:t>ata sources</w:t>
      </w:r>
      <w:bookmarkEnd w:id="209"/>
    </w:p>
    <w:p w14:paraId="5673C6B0" w14:textId="77777777" w:rsidR="00BA5466" w:rsidRDefault="00BA5466" w:rsidP="001937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3870"/>
      </w:tblGrid>
      <w:tr w:rsidR="00BA5466" w:rsidRPr="0050623B" w14:paraId="485A622D" w14:textId="77777777" w:rsidTr="00BA5466">
        <w:trPr>
          <w:trHeight w:val="290"/>
        </w:trPr>
        <w:tc>
          <w:tcPr>
            <w:tcW w:w="5035" w:type="dxa"/>
            <w:shd w:val="clear" w:color="auto" w:fill="auto"/>
            <w:noWrap/>
            <w:vAlign w:val="bottom"/>
            <w:hideMark/>
          </w:tcPr>
          <w:p w14:paraId="7B44BECE"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 xml:space="preserve">Global Health Data </w:t>
            </w:r>
            <w:proofErr w:type="gramStart"/>
            <w:r w:rsidRPr="00492F76">
              <w:rPr>
                <w:rFonts w:ascii="Arial Narrow" w:eastAsia="Times New Roman" w:hAnsi="Arial Narrow" w:cs="Calibri"/>
                <w:color w:val="000000"/>
              </w:rPr>
              <w:t>Exchange(</w:t>
            </w:r>
            <w:proofErr w:type="spellStart"/>
            <w:proofErr w:type="gramEnd"/>
            <w:r w:rsidRPr="00492F76">
              <w:rPr>
                <w:rFonts w:ascii="Arial Narrow" w:eastAsia="Times New Roman" w:hAnsi="Arial Narrow" w:cs="Calibri"/>
                <w:color w:val="000000"/>
              </w:rPr>
              <w:t>GHDx</w:t>
            </w:r>
            <w:proofErr w:type="spellEnd"/>
            <w:r w:rsidRPr="00492F76">
              <w:rPr>
                <w:rFonts w:ascii="Arial Narrow" w:eastAsia="Times New Roman" w:hAnsi="Arial Narrow" w:cs="Calibri"/>
                <w:color w:val="000000"/>
              </w:rPr>
              <w:t>), Global Burden of Disease Study(GBD)</w:t>
            </w:r>
          </w:p>
        </w:tc>
        <w:tc>
          <w:tcPr>
            <w:tcW w:w="3870" w:type="dxa"/>
            <w:shd w:val="clear" w:color="auto" w:fill="auto"/>
            <w:noWrap/>
            <w:vAlign w:val="bottom"/>
            <w:hideMark/>
          </w:tcPr>
          <w:p w14:paraId="1758E51E"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http://ghdx.healthdata.org/</w:t>
            </w:r>
          </w:p>
        </w:tc>
      </w:tr>
      <w:tr w:rsidR="00BA5466" w:rsidRPr="0050623B" w14:paraId="10EF293C" w14:textId="77777777" w:rsidTr="00857F34">
        <w:trPr>
          <w:trHeight w:val="290"/>
        </w:trPr>
        <w:tc>
          <w:tcPr>
            <w:tcW w:w="5035" w:type="dxa"/>
            <w:shd w:val="clear" w:color="auto" w:fill="auto"/>
            <w:noWrap/>
            <w:vAlign w:val="bottom"/>
            <w:hideMark/>
          </w:tcPr>
          <w:p w14:paraId="4E752D9E"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The DHS Program, Demographic and Health Surveys</w:t>
            </w:r>
          </w:p>
        </w:tc>
        <w:tc>
          <w:tcPr>
            <w:tcW w:w="3870" w:type="dxa"/>
            <w:shd w:val="clear" w:color="auto" w:fill="auto"/>
            <w:noWrap/>
            <w:vAlign w:val="bottom"/>
            <w:hideMark/>
          </w:tcPr>
          <w:p w14:paraId="0063D501"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http://dhsprogram.com/</w:t>
            </w:r>
          </w:p>
        </w:tc>
      </w:tr>
      <w:tr w:rsidR="000F4471" w:rsidRPr="0050623B" w14:paraId="652CA52D" w14:textId="77777777" w:rsidTr="00857F34">
        <w:trPr>
          <w:trHeight w:val="290"/>
        </w:trPr>
        <w:tc>
          <w:tcPr>
            <w:tcW w:w="5035" w:type="dxa"/>
            <w:shd w:val="clear" w:color="auto" w:fill="auto"/>
            <w:noWrap/>
            <w:vAlign w:val="bottom"/>
          </w:tcPr>
          <w:p w14:paraId="63BF7625" w14:textId="275B8887" w:rsidR="000F4471" w:rsidRPr="00492F76" w:rsidRDefault="000F4471" w:rsidP="006E03D2">
            <w:pPr>
              <w:jc w:val="left"/>
              <w:rPr>
                <w:rFonts w:ascii="Arial Narrow" w:eastAsia="Times New Roman" w:hAnsi="Arial Narrow" w:cs="Calibri"/>
                <w:color w:val="000000"/>
              </w:rPr>
            </w:pPr>
            <w:r>
              <w:rPr>
                <w:rFonts w:ascii="Arial Narrow" w:eastAsia="Times New Roman" w:hAnsi="Arial Narrow" w:cs="Calibri"/>
                <w:color w:val="000000"/>
              </w:rPr>
              <w:t>MICS, Multiple cluster surveys</w:t>
            </w:r>
          </w:p>
        </w:tc>
        <w:tc>
          <w:tcPr>
            <w:tcW w:w="3870" w:type="dxa"/>
            <w:shd w:val="clear" w:color="auto" w:fill="auto"/>
            <w:noWrap/>
            <w:vAlign w:val="bottom"/>
          </w:tcPr>
          <w:p w14:paraId="43245DBB" w14:textId="099F8F74" w:rsidR="000F4471" w:rsidRPr="00492F76" w:rsidRDefault="000F4471" w:rsidP="006E03D2">
            <w:pPr>
              <w:jc w:val="left"/>
              <w:rPr>
                <w:rFonts w:ascii="Arial Narrow" w:eastAsia="Times New Roman" w:hAnsi="Arial Narrow" w:cs="Calibri"/>
                <w:color w:val="000000"/>
              </w:rPr>
            </w:pPr>
            <w:r w:rsidRPr="000F4471">
              <w:rPr>
                <w:rFonts w:ascii="Arial Narrow" w:eastAsia="Times New Roman" w:hAnsi="Arial Narrow" w:cs="Calibri"/>
                <w:color w:val="000000"/>
              </w:rPr>
              <w:t>https://mics.unicef.org/surveys</w:t>
            </w:r>
          </w:p>
        </w:tc>
      </w:tr>
      <w:tr w:rsidR="00BA5466" w:rsidRPr="0050623B" w14:paraId="1F1FE95F" w14:textId="77777777" w:rsidTr="00857F34">
        <w:trPr>
          <w:trHeight w:val="290"/>
        </w:trPr>
        <w:tc>
          <w:tcPr>
            <w:tcW w:w="5035" w:type="dxa"/>
            <w:shd w:val="clear" w:color="auto" w:fill="auto"/>
            <w:noWrap/>
            <w:vAlign w:val="bottom"/>
            <w:hideMark/>
          </w:tcPr>
          <w:p w14:paraId="420D9A2C"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The World Bank, Gender Statistics Database</w:t>
            </w:r>
          </w:p>
        </w:tc>
        <w:tc>
          <w:tcPr>
            <w:tcW w:w="3870" w:type="dxa"/>
            <w:shd w:val="clear" w:color="auto" w:fill="auto"/>
            <w:noWrap/>
            <w:vAlign w:val="bottom"/>
            <w:hideMark/>
          </w:tcPr>
          <w:p w14:paraId="1EE054BF"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http://data.worldbank.org/</w:t>
            </w:r>
          </w:p>
        </w:tc>
      </w:tr>
      <w:tr w:rsidR="00BA5466" w:rsidRPr="0050623B" w14:paraId="747177FF" w14:textId="77777777" w:rsidTr="00857F34">
        <w:trPr>
          <w:trHeight w:val="290"/>
        </w:trPr>
        <w:tc>
          <w:tcPr>
            <w:tcW w:w="5035" w:type="dxa"/>
            <w:shd w:val="clear" w:color="auto" w:fill="auto"/>
            <w:noWrap/>
            <w:vAlign w:val="bottom"/>
            <w:hideMark/>
          </w:tcPr>
          <w:p w14:paraId="2648AE04"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The World Bank, Health Nutrition and Population Statistics</w:t>
            </w:r>
          </w:p>
        </w:tc>
        <w:tc>
          <w:tcPr>
            <w:tcW w:w="3870" w:type="dxa"/>
            <w:shd w:val="clear" w:color="auto" w:fill="auto"/>
            <w:noWrap/>
            <w:vAlign w:val="bottom"/>
            <w:hideMark/>
          </w:tcPr>
          <w:p w14:paraId="4D489463"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http://datatopics.worldbank.org/hnp/HNPSDG</w:t>
            </w:r>
          </w:p>
        </w:tc>
      </w:tr>
      <w:tr w:rsidR="009777EB" w:rsidRPr="0050623B" w14:paraId="40E56330" w14:textId="77777777" w:rsidTr="003105B9">
        <w:trPr>
          <w:trHeight w:val="290"/>
        </w:trPr>
        <w:tc>
          <w:tcPr>
            <w:tcW w:w="5035" w:type="dxa"/>
            <w:shd w:val="clear" w:color="auto" w:fill="auto"/>
            <w:noWrap/>
            <w:vAlign w:val="bottom"/>
            <w:hideMark/>
          </w:tcPr>
          <w:p w14:paraId="02A6F071" w14:textId="77777777" w:rsidR="009777EB" w:rsidRPr="00492F76" w:rsidRDefault="009777EB" w:rsidP="003105B9">
            <w:pPr>
              <w:jc w:val="left"/>
              <w:rPr>
                <w:rFonts w:ascii="Arial Narrow" w:eastAsia="Times New Roman" w:hAnsi="Arial Narrow" w:cs="Calibri"/>
                <w:color w:val="000000"/>
              </w:rPr>
            </w:pPr>
            <w:r w:rsidRPr="00492F76">
              <w:rPr>
                <w:rFonts w:ascii="Arial Narrow" w:eastAsia="Times New Roman" w:hAnsi="Arial Narrow" w:cs="Calibri"/>
                <w:color w:val="000000"/>
              </w:rPr>
              <w:t>The World Bank, World Development Indicators</w:t>
            </w:r>
          </w:p>
        </w:tc>
        <w:tc>
          <w:tcPr>
            <w:tcW w:w="3870" w:type="dxa"/>
            <w:shd w:val="clear" w:color="auto" w:fill="auto"/>
            <w:noWrap/>
            <w:vAlign w:val="bottom"/>
            <w:hideMark/>
          </w:tcPr>
          <w:p w14:paraId="5962DDD7" w14:textId="719AD96B" w:rsidR="009777EB" w:rsidRPr="00492F76" w:rsidRDefault="00B36B9B" w:rsidP="003105B9">
            <w:pPr>
              <w:jc w:val="left"/>
              <w:rPr>
                <w:rFonts w:ascii="Arial Narrow" w:eastAsia="Times New Roman" w:hAnsi="Arial Narrow" w:cs="Calibri"/>
                <w:color w:val="000000"/>
              </w:rPr>
            </w:pPr>
            <w:r w:rsidRPr="00B36B9B">
              <w:rPr>
                <w:rFonts w:ascii="Arial Narrow" w:eastAsia="Times New Roman" w:hAnsi="Arial Narrow" w:cs="Calibri"/>
                <w:color w:val="000000"/>
              </w:rPr>
              <w:t>https://databank.worldbank.org/source/world-development-indicators</w:t>
            </w:r>
          </w:p>
        </w:tc>
      </w:tr>
      <w:tr w:rsidR="00BA5466" w:rsidRPr="0050623B" w14:paraId="125EB9B9" w14:textId="77777777" w:rsidTr="00BA5466">
        <w:trPr>
          <w:trHeight w:val="290"/>
        </w:trPr>
        <w:tc>
          <w:tcPr>
            <w:tcW w:w="5035" w:type="dxa"/>
            <w:shd w:val="clear" w:color="auto" w:fill="auto"/>
            <w:noWrap/>
            <w:vAlign w:val="bottom"/>
            <w:hideMark/>
          </w:tcPr>
          <w:p w14:paraId="40157044"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The World Bank, Sustainable Development Goals database</w:t>
            </w:r>
          </w:p>
        </w:tc>
        <w:tc>
          <w:tcPr>
            <w:tcW w:w="3870" w:type="dxa"/>
            <w:shd w:val="clear" w:color="auto" w:fill="auto"/>
            <w:noWrap/>
            <w:vAlign w:val="bottom"/>
            <w:hideMark/>
          </w:tcPr>
          <w:p w14:paraId="1180B9A5" w14:textId="0A68EE7C" w:rsidR="00BA5466" w:rsidRPr="00492F76" w:rsidRDefault="00B36B9B" w:rsidP="006E03D2">
            <w:pPr>
              <w:jc w:val="left"/>
              <w:rPr>
                <w:rFonts w:ascii="Arial Narrow" w:eastAsia="Times New Roman" w:hAnsi="Arial Narrow" w:cs="Calibri"/>
                <w:color w:val="000000"/>
              </w:rPr>
            </w:pPr>
            <w:r w:rsidRPr="00B36B9B">
              <w:rPr>
                <w:rFonts w:ascii="Arial Narrow" w:eastAsia="Times New Roman" w:hAnsi="Arial Narrow" w:cs="Calibri"/>
                <w:color w:val="000000"/>
              </w:rPr>
              <w:t>https://databank.worldbank.org/source/sustainable-development-goals-(sdgs)</w:t>
            </w:r>
          </w:p>
        </w:tc>
      </w:tr>
      <w:tr w:rsidR="00BA5466" w:rsidRPr="0050623B" w14:paraId="530ED9B2" w14:textId="77777777" w:rsidTr="00BA5466">
        <w:trPr>
          <w:trHeight w:val="290"/>
        </w:trPr>
        <w:tc>
          <w:tcPr>
            <w:tcW w:w="5035" w:type="dxa"/>
            <w:shd w:val="clear" w:color="auto" w:fill="auto"/>
            <w:noWrap/>
            <w:vAlign w:val="bottom"/>
            <w:hideMark/>
          </w:tcPr>
          <w:p w14:paraId="45889AA2"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United Nations, Population Division, World Population Prospects</w:t>
            </w:r>
          </w:p>
        </w:tc>
        <w:tc>
          <w:tcPr>
            <w:tcW w:w="3870" w:type="dxa"/>
            <w:shd w:val="clear" w:color="auto" w:fill="auto"/>
            <w:noWrap/>
            <w:vAlign w:val="bottom"/>
            <w:hideMark/>
          </w:tcPr>
          <w:p w14:paraId="24A1177D"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https://esa.un.org/unpd/wpp/</w:t>
            </w:r>
          </w:p>
        </w:tc>
      </w:tr>
      <w:tr w:rsidR="009777EB" w:rsidRPr="0050623B" w14:paraId="2BDADD12" w14:textId="77777777" w:rsidTr="003105B9">
        <w:trPr>
          <w:trHeight w:val="290"/>
        </w:trPr>
        <w:tc>
          <w:tcPr>
            <w:tcW w:w="5035" w:type="dxa"/>
            <w:shd w:val="clear" w:color="auto" w:fill="auto"/>
            <w:noWrap/>
            <w:vAlign w:val="bottom"/>
            <w:hideMark/>
          </w:tcPr>
          <w:p w14:paraId="09700E39" w14:textId="77777777" w:rsidR="009777EB" w:rsidRPr="00492F76" w:rsidRDefault="009777EB" w:rsidP="003105B9">
            <w:pPr>
              <w:jc w:val="left"/>
              <w:rPr>
                <w:rFonts w:ascii="Arial Narrow" w:eastAsia="Times New Roman" w:hAnsi="Arial Narrow" w:cs="Calibri"/>
                <w:color w:val="000000"/>
              </w:rPr>
            </w:pPr>
            <w:r w:rsidRPr="00492F76">
              <w:rPr>
                <w:rFonts w:ascii="Arial Narrow" w:eastAsia="Times New Roman" w:hAnsi="Arial Narrow" w:cs="Calibri"/>
                <w:color w:val="000000"/>
              </w:rPr>
              <w:t>United Nations, Department of Economic and Social Affairs, Statistics Division, SDG database</w:t>
            </w:r>
          </w:p>
        </w:tc>
        <w:tc>
          <w:tcPr>
            <w:tcW w:w="3870" w:type="dxa"/>
            <w:shd w:val="clear" w:color="auto" w:fill="auto"/>
            <w:noWrap/>
            <w:vAlign w:val="bottom"/>
            <w:hideMark/>
          </w:tcPr>
          <w:p w14:paraId="2ADE43C6" w14:textId="77777777" w:rsidR="009777EB" w:rsidRPr="00492F76" w:rsidRDefault="009777EB" w:rsidP="003105B9">
            <w:pPr>
              <w:jc w:val="left"/>
              <w:rPr>
                <w:rFonts w:ascii="Arial Narrow" w:eastAsia="Times New Roman" w:hAnsi="Arial Narrow" w:cs="Calibri"/>
                <w:color w:val="000000"/>
              </w:rPr>
            </w:pPr>
            <w:r w:rsidRPr="00492F76">
              <w:rPr>
                <w:rFonts w:ascii="Arial Narrow" w:eastAsia="Times New Roman" w:hAnsi="Arial Narrow" w:cs="Calibri"/>
                <w:color w:val="000000"/>
              </w:rPr>
              <w:t>https://unstats.un.org</w:t>
            </w:r>
          </w:p>
        </w:tc>
      </w:tr>
      <w:tr w:rsidR="009777EB" w:rsidRPr="0050623B" w14:paraId="05D4224C" w14:textId="77777777" w:rsidTr="003105B9">
        <w:trPr>
          <w:trHeight w:val="290"/>
        </w:trPr>
        <w:tc>
          <w:tcPr>
            <w:tcW w:w="5035" w:type="dxa"/>
            <w:shd w:val="clear" w:color="auto" w:fill="auto"/>
            <w:noWrap/>
            <w:vAlign w:val="bottom"/>
            <w:hideMark/>
          </w:tcPr>
          <w:p w14:paraId="66227D91" w14:textId="77777777" w:rsidR="009777EB" w:rsidRPr="00492F76" w:rsidRDefault="009777EB" w:rsidP="003105B9">
            <w:pPr>
              <w:jc w:val="left"/>
              <w:rPr>
                <w:rFonts w:ascii="Arial Narrow" w:eastAsia="Times New Roman" w:hAnsi="Arial Narrow" w:cs="Calibri"/>
                <w:color w:val="000000"/>
              </w:rPr>
            </w:pPr>
            <w:r w:rsidRPr="00492F76">
              <w:rPr>
                <w:rFonts w:ascii="Arial Narrow" w:eastAsia="Times New Roman" w:hAnsi="Arial Narrow" w:cs="Calibri"/>
                <w:color w:val="000000"/>
              </w:rPr>
              <w:t>UNICEF Data, Monitoring the situation of children and women</w:t>
            </w:r>
          </w:p>
        </w:tc>
        <w:tc>
          <w:tcPr>
            <w:tcW w:w="3870" w:type="dxa"/>
            <w:shd w:val="clear" w:color="auto" w:fill="auto"/>
            <w:noWrap/>
            <w:vAlign w:val="bottom"/>
            <w:hideMark/>
          </w:tcPr>
          <w:p w14:paraId="5438103F" w14:textId="77777777" w:rsidR="009777EB" w:rsidRPr="00492F76" w:rsidRDefault="009777EB" w:rsidP="003105B9">
            <w:pPr>
              <w:jc w:val="left"/>
              <w:rPr>
                <w:rFonts w:ascii="Arial Narrow" w:eastAsia="Times New Roman" w:hAnsi="Arial Narrow" w:cs="Calibri"/>
                <w:color w:val="000000"/>
              </w:rPr>
            </w:pPr>
            <w:r w:rsidRPr="00492F76">
              <w:rPr>
                <w:rFonts w:ascii="Arial Narrow" w:eastAsia="Times New Roman" w:hAnsi="Arial Narrow" w:cs="Calibri"/>
                <w:color w:val="000000"/>
              </w:rPr>
              <w:t>https://data.unicef.org/indicator-profile/HVA_PREV_KNOW/</w:t>
            </w:r>
          </w:p>
        </w:tc>
      </w:tr>
      <w:tr w:rsidR="009777EB" w:rsidRPr="0050623B" w14:paraId="349CB5B7" w14:textId="77777777" w:rsidTr="003105B9">
        <w:trPr>
          <w:trHeight w:val="290"/>
        </w:trPr>
        <w:tc>
          <w:tcPr>
            <w:tcW w:w="5035" w:type="dxa"/>
            <w:shd w:val="clear" w:color="auto" w:fill="auto"/>
            <w:noWrap/>
            <w:vAlign w:val="bottom"/>
            <w:hideMark/>
          </w:tcPr>
          <w:p w14:paraId="3634762E" w14:textId="77777777" w:rsidR="009777EB" w:rsidRPr="00492F76" w:rsidRDefault="009777EB" w:rsidP="003105B9">
            <w:pPr>
              <w:jc w:val="left"/>
              <w:rPr>
                <w:rFonts w:ascii="Arial Narrow" w:eastAsia="Times New Roman" w:hAnsi="Arial Narrow" w:cs="Calibri"/>
                <w:color w:val="000000"/>
              </w:rPr>
            </w:pPr>
            <w:r w:rsidRPr="00492F76">
              <w:rPr>
                <w:rFonts w:ascii="Arial Narrow" w:eastAsia="Times New Roman" w:hAnsi="Arial Narrow" w:cs="Calibri"/>
                <w:color w:val="000000"/>
              </w:rPr>
              <w:t xml:space="preserve">WHO and UNICEF Joint Monitoring </w:t>
            </w:r>
            <w:proofErr w:type="spellStart"/>
            <w:r w:rsidRPr="00492F76">
              <w:rPr>
                <w:rFonts w:ascii="Arial Narrow" w:eastAsia="Times New Roman" w:hAnsi="Arial Narrow" w:cs="Calibri"/>
                <w:color w:val="000000"/>
              </w:rPr>
              <w:t>Programme</w:t>
            </w:r>
            <w:proofErr w:type="spellEnd"/>
            <w:r w:rsidRPr="00492F76">
              <w:rPr>
                <w:rFonts w:ascii="Arial Narrow" w:eastAsia="Times New Roman" w:hAnsi="Arial Narrow" w:cs="Calibri"/>
                <w:color w:val="000000"/>
              </w:rPr>
              <w:t xml:space="preserve"> (JMP) for Water Supply, Sanitation and Hygiene</w:t>
            </w:r>
          </w:p>
        </w:tc>
        <w:tc>
          <w:tcPr>
            <w:tcW w:w="3870" w:type="dxa"/>
            <w:shd w:val="clear" w:color="auto" w:fill="auto"/>
            <w:noWrap/>
            <w:vAlign w:val="bottom"/>
            <w:hideMark/>
          </w:tcPr>
          <w:p w14:paraId="15A6A1DF" w14:textId="77777777" w:rsidR="009777EB" w:rsidRPr="00492F76" w:rsidRDefault="009777EB" w:rsidP="003105B9">
            <w:pPr>
              <w:jc w:val="left"/>
              <w:rPr>
                <w:rFonts w:ascii="Arial Narrow" w:eastAsia="Times New Roman" w:hAnsi="Arial Narrow" w:cs="Calibri"/>
                <w:color w:val="000000"/>
              </w:rPr>
            </w:pPr>
            <w:r w:rsidRPr="00492F76">
              <w:rPr>
                <w:rFonts w:ascii="Arial Narrow" w:eastAsia="Times New Roman" w:hAnsi="Arial Narrow" w:cs="Calibri"/>
                <w:color w:val="000000"/>
              </w:rPr>
              <w:t>https://washdata.org/</w:t>
            </w:r>
          </w:p>
        </w:tc>
      </w:tr>
      <w:tr w:rsidR="009777EB" w:rsidRPr="0050623B" w14:paraId="2956379C" w14:textId="77777777" w:rsidTr="003105B9">
        <w:trPr>
          <w:trHeight w:val="290"/>
        </w:trPr>
        <w:tc>
          <w:tcPr>
            <w:tcW w:w="5035" w:type="dxa"/>
            <w:shd w:val="clear" w:color="auto" w:fill="auto"/>
            <w:noWrap/>
            <w:vAlign w:val="bottom"/>
            <w:hideMark/>
          </w:tcPr>
          <w:p w14:paraId="0CC7DDD9" w14:textId="77777777" w:rsidR="009777EB" w:rsidRPr="00492F76" w:rsidRDefault="009777EB" w:rsidP="003105B9">
            <w:pPr>
              <w:jc w:val="left"/>
              <w:rPr>
                <w:rFonts w:ascii="Arial Narrow" w:eastAsia="Times New Roman" w:hAnsi="Arial Narrow" w:cs="Calibri"/>
                <w:color w:val="000000"/>
              </w:rPr>
            </w:pPr>
            <w:r w:rsidRPr="00492F76">
              <w:rPr>
                <w:rFonts w:ascii="Arial Narrow" w:eastAsia="Times New Roman" w:hAnsi="Arial Narrow" w:cs="Calibri"/>
                <w:color w:val="000000"/>
              </w:rPr>
              <w:t>World Health Organization (WHO), Global Health Observatory</w:t>
            </w:r>
          </w:p>
        </w:tc>
        <w:tc>
          <w:tcPr>
            <w:tcW w:w="3870" w:type="dxa"/>
            <w:shd w:val="clear" w:color="auto" w:fill="auto"/>
            <w:noWrap/>
            <w:vAlign w:val="bottom"/>
            <w:hideMark/>
          </w:tcPr>
          <w:p w14:paraId="6A9676BE" w14:textId="2F9B40F2" w:rsidR="009777EB" w:rsidRPr="00492F76" w:rsidRDefault="009777EB" w:rsidP="003105B9">
            <w:pPr>
              <w:jc w:val="left"/>
              <w:rPr>
                <w:rFonts w:ascii="Arial Narrow" w:eastAsia="Times New Roman" w:hAnsi="Arial Narrow" w:cs="Calibri"/>
                <w:color w:val="000000"/>
              </w:rPr>
            </w:pPr>
            <w:r w:rsidRPr="00492F76">
              <w:rPr>
                <w:rFonts w:ascii="Arial Narrow" w:eastAsia="Times New Roman" w:hAnsi="Arial Narrow" w:cs="Calibri"/>
                <w:color w:val="000000"/>
              </w:rPr>
              <w:t>https://www.who.int/gho/en/</w:t>
            </w:r>
            <w:r w:rsidR="000B2C3B">
              <w:rPr>
                <w:rFonts w:ascii="Arial Narrow" w:eastAsia="Times New Roman" w:hAnsi="Arial Narrow" w:cs="Calibri"/>
                <w:color w:val="000000"/>
              </w:rPr>
              <w:t xml:space="preserve"> (</w:t>
            </w:r>
            <w:r w:rsidR="000B2C3B" w:rsidRPr="0013020C">
              <w:rPr>
                <w:rFonts w:asciiTheme="minorBidi" w:hAnsiTheme="minorBidi" w:cstheme="minorBidi"/>
              </w:rPr>
              <w:t>https://apps.who.int/gho/data/node.home</w:t>
            </w:r>
            <w:r w:rsidR="000B2C3B">
              <w:rPr>
                <w:rFonts w:ascii="Arial Narrow" w:eastAsia="Times New Roman" w:hAnsi="Arial Narrow" w:cs="Calibri"/>
                <w:color w:val="000000"/>
              </w:rPr>
              <w:t>)</w:t>
            </w:r>
          </w:p>
        </w:tc>
      </w:tr>
      <w:tr w:rsidR="00BA5466" w:rsidRPr="0050623B" w14:paraId="304140CD" w14:textId="77777777" w:rsidTr="00857F34">
        <w:trPr>
          <w:trHeight w:val="290"/>
        </w:trPr>
        <w:tc>
          <w:tcPr>
            <w:tcW w:w="5035" w:type="dxa"/>
            <w:shd w:val="clear" w:color="auto" w:fill="auto"/>
            <w:noWrap/>
            <w:vAlign w:val="bottom"/>
            <w:hideMark/>
          </w:tcPr>
          <w:p w14:paraId="3BA789B7"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World Health Organization (WHO), Global Health Expenditure database</w:t>
            </w:r>
          </w:p>
        </w:tc>
        <w:tc>
          <w:tcPr>
            <w:tcW w:w="3870" w:type="dxa"/>
            <w:shd w:val="clear" w:color="auto" w:fill="auto"/>
            <w:noWrap/>
            <w:vAlign w:val="bottom"/>
            <w:hideMark/>
          </w:tcPr>
          <w:p w14:paraId="255B07A6" w14:textId="77777777" w:rsidR="00BA5466" w:rsidRPr="00492F76" w:rsidRDefault="00BA5466" w:rsidP="006E03D2">
            <w:pPr>
              <w:jc w:val="left"/>
              <w:rPr>
                <w:rFonts w:ascii="Arial Narrow" w:eastAsia="Times New Roman" w:hAnsi="Arial Narrow" w:cs="Calibri"/>
                <w:color w:val="000000"/>
              </w:rPr>
            </w:pPr>
            <w:r w:rsidRPr="00492F76">
              <w:rPr>
                <w:rFonts w:ascii="Arial Narrow" w:eastAsia="Times New Roman" w:hAnsi="Arial Narrow" w:cs="Calibri"/>
                <w:color w:val="000000"/>
              </w:rPr>
              <w:t>http://apps.who.int/nha/database</w:t>
            </w:r>
          </w:p>
        </w:tc>
      </w:tr>
    </w:tbl>
    <w:p w14:paraId="1825C008" w14:textId="77777777" w:rsidR="00BA5466" w:rsidRDefault="00BA5466" w:rsidP="001937D5"/>
    <w:p w14:paraId="0910C760" w14:textId="61E8C494" w:rsidR="00B94A06" w:rsidRDefault="00B94A06">
      <w:pPr>
        <w:spacing w:line="240" w:lineRule="auto"/>
      </w:pPr>
      <w:r>
        <w:br w:type="page"/>
      </w:r>
    </w:p>
    <w:p w14:paraId="39CA49FE" w14:textId="1078D407" w:rsidR="00B94A06" w:rsidRDefault="0061316D" w:rsidP="0061316D">
      <w:pPr>
        <w:pStyle w:val="Heading3"/>
      </w:pPr>
      <w:bookmarkStart w:id="210" w:name="_Toc81138443"/>
      <w:r>
        <w:lastRenderedPageBreak/>
        <w:t>B.2.</w:t>
      </w:r>
      <w:r w:rsidR="00B94A06">
        <w:t xml:space="preserve"> National data sources</w:t>
      </w:r>
      <w:bookmarkEnd w:id="210"/>
    </w:p>
    <w:p w14:paraId="766027EE" w14:textId="2EC99972" w:rsidR="00B94A06" w:rsidRDefault="00B94A06" w:rsidP="001937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4398"/>
        <w:gridCol w:w="3607"/>
      </w:tblGrid>
      <w:tr w:rsidR="00A61A4B" w:rsidRPr="00F2456E" w14:paraId="046BEADB" w14:textId="77777777" w:rsidTr="003105B9">
        <w:trPr>
          <w:trHeight w:val="290"/>
        </w:trPr>
        <w:tc>
          <w:tcPr>
            <w:tcW w:w="1345" w:type="dxa"/>
            <w:shd w:val="clear" w:color="auto" w:fill="auto"/>
            <w:noWrap/>
            <w:vAlign w:val="bottom"/>
            <w:hideMark/>
          </w:tcPr>
          <w:p w14:paraId="35A8132F" w14:textId="5DA778B4" w:rsidR="00A61A4B" w:rsidRPr="00F2456E" w:rsidRDefault="00A61A4B" w:rsidP="00A61A4B">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Algeria</w:t>
            </w:r>
          </w:p>
        </w:tc>
        <w:tc>
          <w:tcPr>
            <w:tcW w:w="4398" w:type="dxa"/>
            <w:shd w:val="clear" w:color="auto" w:fill="auto"/>
            <w:noWrap/>
            <w:vAlign w:val="bottom"/>
            <w:hideMark/>
          </w:tcPr>
          <w:p w14:paraId="0BF4B104" w14:textId="77777777" w:rsidR="00A61A4B" w:rsidRPr="00F2456E" w:rsidRDefault="00A61A4B" w:rsidP="00A61A4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National Statistical Office (ONS), Algeria</w:t>
            </w:r>
          </w:p>
        </w:tc>
        <w:tc>
          <w:tcPr>
            <w:tcW w:w="3607" w:type="dxa"/>
            <w:shd w:val="clear" w:color="auto" w:fill="auto"/>
            <w:noWrap/>
            <w:vAlign w:val="bottom"/>
            <w:hideMark/>
          </w:tcPr>
          <w:p w14:paraId="4537B01C" w14:textId="77777777" w:rsidR="00A61A4B" w:rsidRPr="00F2456E" w:rsidRDefault="00A61A4B" w:rsidP="00A61A4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http://www.ons.dz/-Population-et-Demographie-.html</w:t>
            </w:r>
          </w:p>
        </w:tc>
      </w:tr>
      <w:tr w:rsidR="00A61A4B" w:rsidRPr="00F2456E" w14:paraId="0AE19ABA" w14:textId="77777777" w:rsidTr="003105B9">
        <w:trPr>
          <w:trHeight w:val="290"/>
        </w:trPr>
        <w:tc>
          <w:tcPr>
            <w:tcW w:w="1345" w:type="dxa"/>
            <w:shd w:val="clear" w:color="auto" w:fill="auto"/>
            <w:noWrap/>
            <w:vAlign w:val="bottom"/>
            <w:hideMark/>
          </w:tcPr>
          <w:p w14:paraId="3B1D8E61" w14:textId="173399C1" w:rsidR="00A61A4B" w:rsidRPr="00F2456E" w:rsidRDefault="00A61A4B" w:rsidP="00A61A4B">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Algeria</w:t>
            </w:r>
          </w:p>
        </w:tc>
        <w:tc>
          <w:tcPr>
            <w:tcW w:w="4398" w:type="dxa"/>
            <w:shd w:val="clear" w:color="auto" w:fill="auto"/>
            <w:noWrap/>
            <w:vAlign w:val="bottom"/>
            <w:hideMark/>
          </w:tcPr>
          <w:p w14:paraId="77EBE944" w14:textId="77777777" w:rsidR="00A61A4B" w:rsidRPr="00F2456E" w:rsidRDefault="00A61A4B" w:rsidP="00A61A4B">
            <w:pPr>
              <w:spacing w:line="240" w:lineRule="auto"/>
              <w:jc w:val="left"/>
              <w:rPr>
                <w:rFonts w:ascii="Arial Narrow" w:eastAsia="Times New Roman" w:hAnsi="Arial Narrow" w:cs="Calibri"/>
                <w:color w:val="000000"/>
                <w:sz w:val="20"/>
                <w:szCs w:val="20"/>
              </w:rPr>
            </w:pPr>
            <w:proofErr w:type="spellStart"/>
            <w:r w:rsidRPr="00F2456E">
              <w:rPr>
                <w:rFonts w:ascii="Arial Narrow" w:eastAsia="Times New Roman" w:hAnsi="Arial Narrow" w:cs="Calibri"/>
                <w:color w:val="000000"/>
                <w:sz w:val="20"/>
                <w:szCs w:val="20"/>
              </w:rPr>
              <w:t>Institut</w:t>
            </w:r>
            <w:proofErr w:type="spellEnd"/>
            <w:r w:rsidRPr="00F2456E">
              <w:rPr>
                <w:rFonts w:ascii="Arial Narrow" w:eastAsia="Times New Roman" w:hAnsi="Arial Narrow" w:cs="Calibri"/>
                <w:color w:val="000000"/>
                <w:sz w:val="20"/>
                <w:szCs w:val="20"/>
              </w:rPr>
              <w:t xml:space="preserve"> National de la </w:t>
            </w:r>
            <w:proofErr w:type="spellStart"/>
            <w:r w:rsidRPr="00F2456E">
              <w:rPr>
                <w:rFonts w:ascii="Arial Narrow" w:eastAsia="Times New Roman" w:hAnsi="Arial Narrow" w:cs="Calibri"/>
                <w:color w:val="000000"/>
                <w:sz w:val="20"/>
                <w:szCs w:val="20"/>
              </w:rPr>
              <w:t>Sante</w:t>
            </w:r>
            <w:proofErr w:type="spellEnd"/>
            <w:r w:rsidRPr="00F2456E">
              <w:rPr>
                <w:rFonts w:ascii="Arial Narrow" w:eastAsia="Times New Roman" w:hAnsi="Arial Narrow" w:cs="Calibri"/>
                <w:color w:val="000000"/>
                <w:sz w:val="20"/>
                <w:szCs w:val="20"/>
              </w:rPr>
              <w:t xml:space="preserve"> </w:t>
            </w:r>
            <w:proofErr w:type="spellStart"/>
            <w:r w:rsidRPr="00F2456E">
              <w:rPr>
                <w:rFonts w:ascii="Arial Narrow" w:eastAsia="Times New Roman" w:hAnsi="Arial Narrow" w:cs="Calibri"/>
                <w:color w:val="000000"/>
                <w:sz w:val="20"/>
                <w:szCs w:val="20"/>
              </w:rPr>
              <w:t>Publique</w:t>
            </w:r>
            <w:proofErr w:type="spellEnd"/>
            <w:r w:rsidRPr="00F2456E">
              <w:rPr>
                <w:rFonts w:ascii="Arial Narrow" w:eastAsia="Times New Roman" w:hAnsi="Arial Narrow" w:cs="Calibri"/>
                <w:color w:val="000000"/>
                <w:sz w:val="20"/>
                <w:szCs w:val="20"/>
              </w:rPr>
              <w:t xml:space="preserve">; </w:t>
            </w:r>
            <w:proofErr w:type="spellStart"/>
            <w:r w:rsidRPr="00F2456E">
              <w:rPr>
                <w:rFonts w:ascii="Arial Narrow" w:eastAsia="Times New Roman" w:hAnsi="Arial Narrow" w:cs="Calibri"/>
                <w:color w:val="000000"/>
                <w:sz w:val="20"/>
                <w:szCs w:val="20"/>
              </w:rPr>
              <w:t>Ministere</w:t>
            </w:r>
            <w:proofErr w:type="spellEnd"/>
            <w:r w:rsidRPr="00F2456E">
              <w:rPr>
                <w:rFonts w:ascii="Arial Narrow" w:eastAsia="Times New Roman" w:hAnsi="Arial Narrow" w:cs="Calibri"/>
                <w:color w:val="000000"/>
                <w:sz w:val="20"/>
                <w:szCs w:val="20"/>
              </w:rPr>
              <w:t xml:space="preserve"> de la </w:t>
            </w:r>
            <w:proofErr w:type="spellStart"/>
            <w:r w:rsidRPr="00F2456E">
              <w:rPr>
                <w:rFonts w:ascii="Arial Narrow" w:eastAsia="Times New Roman" w:hAnsi="Arial Narrow" w:cs="Calibri"/>
                <w:color w:val="000000"/>
                <w:sz w:val="20"/>
                <w:szCs w:val="20"/>
              </w:rPr>
              <w:t>Sante</w:t>
            </w:r>
            <w:proofErr w:type="spellEnd"/>
            <w:r w:rsidRPr="00F2456E">
              <w:rPr>
                <w:rFonts w:ascii="Arial Narrow" w:eastAsia="Times New Roman" w:hAnsi="Arial Narrow" w:cs="Calibri"/>
                <w:color w:val="000000"/>
                <w:sz w:val="20"/>
                <w:szCs w:val="20"/>
              </w:rPr>
              <w:t xml:space="preserve">, de la Population et de la </w:t>
            </w:r>
            <w:proofErr w:type="spellStart"/>
            <w:r w:rsidRPr="00F2456E">
              <w:rPr>
                <w:rFonts w:ascii="Arial Narrow" w:eastAsia="Times New Roman" w:hAnsi="Arial Narrow" w:cs="Calibri"/>
                <w:color w:val="000000"/>
                <w:sz w:val="20"/>
                <w:szCs w:val="20"/>
              </w:rPr>
              <w:t>reforme</w:t>
            </w:r>
            <w:proofErr w:type="spellEnd"/>
            <w:r w:rsidRPr="00F2456E">
              <w:rPr>
                <w:rFonts w:ascii="Arial Narrow" w:eastAsia="Times New Roman" w:hAnsi="Arial Narrow" w:cs="Calibri"/>
                <w:color w:val="000000"/>
                <w:sz w:val="20"/>
                <w:szCs w:val="20"/>
              </w:rPr>
              <w:t xml:space="preserve"> </w:t>
            </w:r>
            <w:proofErr w:type="spellStart"/>
            <w:r w:rsidRPr="00F2456E">
              <w:rPr>
                <w:rFonts w:ascii="Arial Narrow" w:eastAsia="Times New Roman" w:hAnsi="Arial Narrow" w:cs="Calibri"/>
                <w:color w:val="000000"/>
                <w:sz w:val="20"/>
                <w:szCs w:val="20"/>
              </w:rPr>
              <w:t>hospitaliere</w:t>
            </w:r>
            <w:proofErr w:type="spellEnd"/>
          </w:p>
        </w:tc>
        <w:tc>
          <w:tcPr>
            <w:tcW w:w="3607" w:type="dxa"/>
            <w:shd w:val="clear" w:color="auto" w:fill="auto"/>
            <w:noWrap/>
            <w:vAlign w:val="bottom"/>
            <w:hideMark/>
          </w:tcPr>
          <w:p w14:paraId="3060C13A" w14:textId="77777777" w:rsidR="00A61A4B" w:rsidRPr="00F2456E" w:rsidRDefault="00A61A4B" w:rsidP="00A61A4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http://www.sante.gov.dz/index.php/indicateurs</w:t>
            </w:r>
          </w:p>
        </w:tc>
      </w:tr>
      <w:tr w:rsidR="00D76AFD" w:rsidRPr="00F2456E" w14:paraId="55DC11EA" w14:textId="77777777" w:rsidTr="00D76AFD">
        <w:trPr>
          <w:trHeight w:val="290"/>
        </w:trPr>
        <w:tc>
          <w:tcPr>
            <w:tcW w:w="1345" w:type="dxa"/>
            <w:shd w:val="clear" w:color="auto" w:fill="auto"/>
            <w:noWrap/>
            <w:vAlign w:val="bottom"/>
            <w:hideMark/>
          </w:tcPr>
          <w:p w14:paraId="7F26C443" w14:textId="6DD1778C" w:rsidR="00D76AFD" w:rsidRPr="00F2456E" w:rsidRDefault="007B467B"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Bahrain</w:t>
            </w:r>
          </w:p>
        </w:tc>
        <w:tc>
          <w:tcPr>
            <w:tcW w:w="4398" w:type="dxa"/>
            <w:shd w:val="clear" w:color="auto" w:fill="auto"/>
            <w:noWrap/>
            <w:vAlign w:val="bottom"/>
            <w:hideMark/>
          </w:tcPr>
          <w:p w14:paraId="0D4444B1"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Ministry of Health, Bahrain</w:t>
            </w:r>
          </w:p>
        </w:tc>
        <w:tc>
          <w:tcPr>
            <w:tcW w:w="3607" w:type="dxa"/>
            <w:shd w:val="clear" w:color="auto" w:fill="auto"/>
            <w:noWrap/>
            <w:vAlign w:val="bottom"/>
            <w:hideMark/>
          </w:tcPr>
          <w:p w14:paraId="0F0BE1A4"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http://www.data.gov.bh/</w:t>
            </w:r>
          </w:p>
        </w:tc>
      </w:tr>
      <w:tr w:rsidR="00D76AFD" w:rsidRPr="00F2456E" w14:paraId="6196A322" w14:textId="77777777" w:rsidTr="006E03D2">
        <w:trPr>
          <w:trHeight w:val="290"/>
        </w:trPr>
        <w:tc>
          <w:tcPr>
            <w:tcW w:w="1345" w:type="dxa"/>
            <w:shd w:val="clear" w:color="auto" w:fill="auto"/>
            <w:noWrap/>
            <w:vAlign w:val="bottom"/>
            <w:hideMark/>
          </w:tcPr>
          <w:p w14:paraId="76A826D4" w14:textId="08DE0C6E" w:rsidR="00D76AFD" w:rsidRPr="00F2456E" w:rsidRDefault="007B467B"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Bahrain</w:t>
            </w:r>
          </w:p>
        </w:tc>
        <w:tc>
          <w:tcPr>
            <w:tcW w:w="4398" w:type="dxa"/>
            <w:shd w:val="clear" w:color="auto" w:fill="auto"/>
            <w:noWrap/>
            <w:vAlign w:val="bottom"/>
            <w:hideMark/>
          </w:tcPr>
          <w:p w14:paraId="2BE697A4"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Information and eGovernment Authority, Bahrain Open Data Portal</w:t>
            </w:r>
          </w:p>
        </w:tc>
        <w:tc>
          <w:tcPr>
            <w:tcW w:w="3607" w:type="dxa"/>
            <w:shd w:val="clear" w:color="auto" w:fill="auto"/>
            <w:noWrap/>
            <w:vAlign w:val="bottom"/>
            <w:hideMark/>
          </w:tcPr>
          <w:p w14:paraId="48543589"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http://www.data.gov.bh/en</w:t>
            </w:r>
          </w:p>
        </w:tc>
      </w:tr>
      <w:tr w:rsidR="00D76AFD" w:rsidRPr="00F2456E" w14:paraId="59876854" w14:textId="77777777" w:rsidTr="00D76AFD">
        <w:trPr>
          <w:trHeight w:val="290"/>
        </w:trPr>
        <w:tc>
          <w:tcPr>
            <w:tcW w:w="1345" w:type="dxa"/>
            <w:shd w:val="clear" w:color="auto" w:fill="auto"/>
            <w:noWrap/>
            <w:vAlign w:val="bottom"/>
            <w:hideMark/>
          </w:tcPr>
          <w:p w14:paraId="71B919C8" w14:textId="1D47F96A" w:rsidR="00D76AFD" w:rsidRPr="00F2456E" w:rsidRDefault="007B467B"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Egypt</w:t>
            </w:r>
          </w:p>
        </w:tc>
        <w:tc>
          <w:tcPr>
            <w:tcW w:w="4398" w:type="dxa"/>
            <w:shd w:val="clear" w:color="auto" w:fill="auto"/>
            <w:noWrap/>
            <w:vAlign w:val="bottom"/>
            <w:hideMark/>
          </w:tcPr>
          <w:p w14:paraId="651F0863"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Central Agency for Public Mobilization and Statistics (CAPMAS), Egypt</w:t>
            </w:r>
          </w:p>
        </w:tc>
        <w:tc>
          <w:tcPr>
            <w:tcW w:w="3607" w:type="dxa"/>
            <w:shd w:val="clear" w:color="auto" w:fill="auto"/>
            <w:noWrap/>
            <w:vAlign w:val="bottom"/>
            <w:hideMark/>
          </w:tcPr>
          <w:p w14:paraId="7291AC2E"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www.capmas.gov.eg</w:t>
            </w:r>
          </w:p>
        </w:tc>
      </w:tr>
      <w:tr w:rsidR="00D76AFD" w:rsidRPr="00F2456E" w14:paraId="39318A99" w14:textId="77777777" w:rsidTr="006E03D2">
        <w:trPr>
          <w:trHeight w:val="290"/>
        </w:trPr>
        <w:tc>
          <w:tcPr>
            <w:tcW w:w="1345" w:type="dxa"/>
            <w:shd w:val="clear" w:color="auto" w:fill="auto"/>
            <w:noWrap/>
            <w:vAlign w:val="bottom"/>
            <w:hideMark/>
          </w:tcPr>
          <w:p w14:paraId="4AC341CF" w14:textId="47D09446" w:rsidR="00D76AFD" w:rsidRPr="00F2456E" w:rsidRDefault="007B467B"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Iraq</w:t>
            </w:r>
          </w:p>
        </w:tc>
        <w:tc>
          <w:tcPr>
            <w:tcW w:w="4398" w:type="dxa"/>
            <w:shd w:val="clear" w:color="auto" w:fill="auto"/>
            <w:noWrap/>
            <w:vAlign w:val="bottom"/>
            <w:hideMark/>
          </w:tcPr>
          <w:p w14:paraId="3FC076A5"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Central Statistical Organization (CSO), Iraq</w:t>
            </w:r>
          </w:p>
        </w:tc>
        <w:tc>
          <w:tcPr>
            <w:tcW w:w="3607" w:type="dxa"/>
            <w:shd w:val="clear" w:color="auto" w:fill="auto"/>
            <w:noWrap/>
            <w:vAlign w:val="bottom"/>
            <w:hideMark/>
          </w:tcPr>
          <w:p w14:paraId="5594669D"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http://cosit.gov.iq</w:t>
            </w:r>
          </w:p>
        </w:tc>
      </w:tr>
      <w:tr w:rsidR="00D76AFD" w:rsidRPr="00F2456E" w14:paraId="15C33A1B" w14:textId="77777777" w:rsidTr="00D76AFD">
        <w:trPr>
          <w:trHeight w:val="290"/>
        </w:trPr>
        <w:tc>
          <w:tcPr>
            <w:tcW w:w="1345" w:type="dxa"/>
            <w:shd w:val="clear" w:color="auto" w:fill="auto"/>
            <w:noWrap/>
            <w:vAlign w:val="bottom"/>
            <w:hideMark/>
          </w:tcPr>
          <w:p w14:paraId="3C9EE932" w14:textId="241797FE" w:rsidR="00D76AFD" w:rsidRPr="00F2456E" w:rsidRDefault="007B467B"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Jordan</w:t>
            </w:r>
          </w:p>
        </w:tc>
        <w:tc>
          <w:tcPr>
            <w:tcW w:w="4398" w:type="dxa"/>
            <w:shd w:val="clear" w:color="auto" w:fill="auto"/>
            <w:noWrap/>
            <w:vAlign w:val="bottom"/>
            <w:hideMark/>
          </w:tcPr>
          <w:p w14:paraId="3765064C"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Department of Statistics (DOS), Jordan</w:t>
            </w:r>
          </w:p>
        </w:tc>
        <w:tc>
          <w:tcPr>
            <w:tcW w:w="3607" w:type="dxa"/>
            <w:shd w:val="clear" w:color="auto" w:fill="auto"/>
            <w:noWrap/>
            <w:vAlign w:val="bottom"/>
            <w:hideMark/>
          </w:tcPr>
          <w:p w14:paraId="39AF5100"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http://web.dos.gov.jo/</w:t>
            </w:r>
          </w:p>
        </w:tc>
      </w:tr>
      <w:tr w:rsidR="007B467B" w:rsidRPr="00F2456E" w14:paraId="7DD5805D" w14:textId="77777777" w:rsidTr="006E03D2">
        <w:trPr>
          <w:trHeight w:val="290"/>
        </w:trPr>
        <w:tc>
          <w:tcPr>
            <w:tcW w:w="1345" w:type="dxa"/>
            <w:shd w:val="clear" w:color="auto" w:fill="auto"/>
            <w:noWrap/>
            <w:vAlign w:val="bottom"/>
            <w:hideMark/>
          </w:tcPr>
          <w:p w14:paraId="7D98CDC2" w14:textId="5AACD1E1" w:rsidR="007B467B" w:rsidRPr="00F2456E" w:rsidRDefault="007B467B" w:rsidP="007B467B">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Jordan</w:t>
            </w:r>
          </w:p>
        </w:tc>
        <w:tc>
          <w:tcPr>
            <w:tcW w:w="4398" w:type="dxa"/>
            <w:shd w:val="clear" w:color="auto" w:fill="auto"/>
            <w:noWrap/>
            <w:vAlign w:val="bottom"/>
            <w:hideMark/>
          </w:tcPr>
          <w:p w14:paraId="6A1A9544" w14:textId="77777777" w:rsidR="007B467B" w:rsidRPr="00F2456E" w:rsidRDefault="007B467B" w:rsidP="007B467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Ministry of Health, Jordan</w:t>
            </w:r>
          </w:p>
        </w:tc>
        <w:tc>
          <w:tcPr>
            <w:tcW w:w="3607" w:type="dxa"/>
            <w:shd w:val="clear" w:color="auto" w:fill="auto"/>
            <w:noWrap/>
            <w:vAlign w:val="bottom"/>
            <w:hideMark/>
          </w:tcPr>
          <w:p w14:paraId="18DD5368" w14:textId="77777777" w:rsidR="007B467B" w:rsidRPr="00F2456E" w:rsidRDefault="007B467B" w:rsidP="007B467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www.moh.gov.jo</w:t>
            </w:r>
          </w:p>
        </w:tc>
      </w:tr>
      <w:tr w:rsidR="00D76AFD" w:rsidRPr="00F2456E" w14:paraId="145AE3D0" w14:textId="77777777" w:rsidTr="006E03D2">
        <w:trPr>
          <w:trHeight w:val="290"/>
        </w:trPr>
        <w:tc>
          <w:tcPr>
            <w:tcW w:w="1345" w:type="dxa"/>
            <w:shd w:val="clear" w:color="auto" w:fill="auto"/>
            <w:noWrap/>
            <w:vAlign w:val="bottom"/>
            <w:hideMark/>
          </w:tcPr>
          <w:p w14:paraId="02AA69D9" w14:textId="019D58E9" w:rsidR="00D76AFD" w:rsidRPr="00F2456E" w:rsidRDefault="007B467B"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Kuwait</w:t>
            </w:r>
          </w:p>
        </w:tc>
        <w:tc>
          <w:tcPr>
            <w:tcW w:w="4398" w:type="dxa"/>
            <w:shd w:val="clear" w:color="auto" w:fill="auto"/>
            <w:noWrap/>
            <w:vAlign w:val="bottom"/>
            <w:hideMark/>
          </w:tcPr>
          <w:p w14:paraId="5EAB5943"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Central Statistical Bureau (CSB), Kuwait</w:t>
            </w:r>
          </w:p>
        </w:tc>
        <w:tc>
          <w:tcPr>
            <w:tcW w:w="3607" w:type="dxa"/>
            <w:shd w:val="clear" w:color="auto" w:fill="auto"/>
            <w:noWrap/>
            <w:vAlign w:val="bottom"/>
            <w:hideMark/>
          </w:tcPr>
          <w:p w14:paraId="6E8C385B"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www.csb.gov.kw</w:t>
            </w:r>
          </w:p>
        </w:tc>
      </w:tr>
      <w:tr w:rsidR="007B467B" w:rsidRPr="00F2456E" w14:paraId="178A7320" w14:textId="77777777" w:rsidTr="00CE4094">
        <w:trPr>
          <w:trHeight w:val="290"/>
        </w:trPr>
        <w:tc>
          <w:tcPr>
            <w:tcW w:w="1345" w:type="dxa"/>
            <w:shd w:val="clear" w:color="auto" w:fill="auto"/>
            <w:noWrap/>
            <w:hideMark/>
          </w:tcPr>
          <w:p w14:paraId="7DE253A3" w14:textId="61A7D6B1" w:rsidR="007B467B" w:rsidRPr="00F2456E" w:rsidRDefault="007B467B" w:rsidP="007B467B">
            <w:pPr>
              <w:spacing w:line="240" w:lineRule="auto"/>
              <w:jc w:val="left"/>
              <w:rPr>
                <w:rFonts w:ascii="Arial Narrow" w:eastAsia="Times New Roman" w:hAnsi="Arial Narrow" w:cs="Calibri"/>
                <w:color w:val="000000"/>
                <w:sz w:val="20"/>
                <w:szCs w:val="20"/>
              </w:rPr>
            </w:pPr>
            <w:r w:rsidRPr="00BE0A1F">
              <w:rPr>
                <w:rFonts w:ascii="Arial Narrow" w:eastAsia="Times New Roman" w:hAnsi="Arial Narrow" w:cs="Calibri"/>
                <w:color w:val="000000"/>
                <w:sz w:val="20"/>
                <w:szCs w:val="20"/>
              </w:rPr>
              <w:t>Lebanon</w:t>
            </w:r>
          </w:p>
        </w:tc>
        <w:tc>
          <w:tcPr>
            <w:tcW w:w="4398" w:type="dxa"/>
            <w:shd w:val="clear" w:color="auto" w:fill="auto"/>
            <w:noWrap/>
            <w:vAlign w:val="bottom"/>
            <w:hideMark/>
          </w:tcPr>
          <w:p w14:paraId="6EAF9371" w14:textId="77777777" w:rsidR="007B467B" w:rsidRPr="00F2456E" w:rsidRDefault="007B467B" w:rsidP="007B467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Central Administration of Statistics (CAS), Lebanon</w:t>
            </w:r>
          </w:p>
        </w:tc>
        <w:tc>
          <w:tcPr>
            <w:tcW w:w="3607" w:type="dxa"/>
            <w:shd w:val="clear" w:color="auto" w:fill="auto"/>
            <w:noWrap/>
            <w:vAlign w:val="bottom"/>
            <w:hideMark/>
          </w:tcPr>
          <w:p w14:paraId="60B8405F" w14:textId="77777777" w:rsidR="007B467B" w:rsidRPr="00F2456E" w:rsidRDefault="007B467B" w:rsidP="007B467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www.cas.gov.lb</w:t>
            </w:r>
          </w:p>
        </w:tc>
      </w:tr>
      <w:tr w:rsidR="007B467B" w:rsidRPr="00F2456E" w14:paraId="5A8611DE" w14:textId="77777777" w:rsidTr="00CE4094">
        <w:trPr>
          <w:trHeight w:val="290"/>
        </w:trPr>
        <w:tc>
          <w:tcPr>
            <w:tcW w:w="1345" w:type="dxa"/>
            <w:shd w:val="clear" w:color="auto" w:fill="auto"/>
            <w:noWrap/>
            <w:hideMark/>
          </w:tcPr>
          <w:p w14:paraId="356F5AB5" w14:textId="14111277" w:rsidR="007B467B" w:rsidRPr="00F2456E" w:rsidRDefault="007B467B" w:rsidP="007B467B">
            <w:pPr>
              <w:spacing w:line="240" w:lineRule="auto"/>
              <w:jc w:val="left"/>
              <w:rPr>
                <w:rFonts w:ascii="Arial Narrow" w:eastAsia="Times New Roman" w:hAnsi="Arial Narrow" w:cs="Calibri"/>
                <w:color w:val="000000"/>
                <w:sz w:val="20"/>
                <w:szCs w:val="20"/>
              </w:rPr>
            </w:pPr>
            <w:r w:rsidRPr="00BE0A1F">
              <w:rPr>
                <w:rFonts w:ascii="Arial Narrow" w:eastAsia="Times New Roman" w:hAnsi="Arial Narrow" w:cs="Calibri"/>
                <w:color w:val="000000"/>
                <w:sz w:val="20"/>
                <w:szCs w:val="20"/>
              </w:rPr>
              <w:t>Lebanon</w:t>
            </w:r>
          </w:p>
        </w:tc>
        <w:tc>
          <w:tcPr>
            <w:tcW w:w="4398" w:type="dxa"/>
            <w:shd w:val="clear" w:color="auto" w:fill="auto"/>
            <w:noWrap/>
            <w:vAlign w:val="bottom"/>
            <w:hideMark/>
          </w:tcPr>
          <w:p w14:paraId="0BF7A18E" w14:textId="77777777" w:rsidR="007B467B" w:rsidRPr="00F2456E" w:rsidRDefault="007B467B" w:rsidP="007B467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Ministry of Public Health, Lebanon</w:t>
            </w:r>
          </w:p>
        </w:tc>
        <w:tc>
          <w:tcPr>
            <w:tcW w:w="3607" w:type="dxa"/>
            <w:shd w:val="clear" w:color="auto" w:fill="auto"/>
            <w:noWrap/>
            <w:vAlign w:val="bottom"/>
            <w:hideMark/>
          </w:tcPr>
          <w:p w14:paraId="35FD8939" w14:textId="77777777" w:rsidR="007B467B" w:rsidRPr="00F2456E" w:rsidRDefault="007B467B" w:rsidP="007B467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www.moph.gov.lb</w:t>
            </w:r>
          </w:p>
        </w:tc>
      </w:tr>
      <w:tr w:rsidR="007B467B" w:rsidRPr="00F2456E" w14:paraId="6B89B564" w14:textId="77777777" w:rsidTr="003E2077">
        <w:trPr>
          <w:trHeight w:val="290"/>
        </w:trPr>
        <w:tc>
          <w:tcPr>
            <w:tcW w:w="1345" w:type="dxa"/>
            <w:shd w:val="clear" w:color="auto" w:fill="auto"/>
            <w:noWrap/>
            <w:hideMark/>
          </w:tcPr>
          <w:p w14:paraId="64685A65" w14:textId="180006F2" w:rsidR="007B467B" w:rsidRPr="00F2456E" w:rsidRDefault="007B467B" w:rsidP="007B467B">
            <w:pPr>
              <w:spacing w:line="240" w:lineRule="auto"/>
              <w:jc w:val="left"/>
              <w:rPr>
                <w:rFonts w:ascii="Arial Narrow" w:eastAsia="Times New Roman" w:hAnsi="Arial Narrow" w:cs="Calibri"/>
                <w:color w:val="000000"/>
                <w:sz w:val="20"/>
                <w:szCs w:val="20"/>
              </w:rPr>
            </w:pPr>
            <w:r w:rsidRPr="006C275F">
              <w:rPr>
                <w:rFonts w:ascii="Arial Narrow" w:eastAsia="Times New Roman" w:hAnsi="Arial Narrow" w:cs="Calibri"/>
                <w:color w:val="000000"/>
                <w:sz w:val="20"/>
                <w:szCs w:val="20"/>
              </w:rPr>
              <w:t>Libya</w:t>
            </w:r>
          </w:p>
        </w:tc>
        <w:tc>
          <w:tcPr>
            <w:tcW w:w="4398" w:type="dxa"/>
            <w:shd w:val="clear" w:color="auto" w:fill="auto"/>
            <w:noWrap/>
            <w:vAlign w:val="bottom"/>
            <w:hideMark/>
          </w:tcPr>
          <w:p w14:paraId="1260D259" w14:textId="77777777" w:rsidR="007B467B" w:rsidRPr="00F2456E" w:rsidRDefault="007B467B" w:rsidP="007B467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Bureau of Statistics and Census (BSC), Libya</w:t>
            </w:r>
          </w:p>
        </w:tc>
        <w:tc>
          <w:tcPr>
            <w:tcW w:w="3607" w:type="dxa"/>
            <w:shd w:val="clear" w:color="auto" w:fill="auto"/>
            <w:noWrap/>
            <w:vAlign w:val="bottom"/>
            <w:hideMark/>
          </w:tcPr>
          <w:p w14:paraId="27726B43" w14:textId="77777777" w:rsidR="007B467B" w:rsidRPr="00F2456E" w:rsidRDefault="007B467B" w:rsidP="007B467B">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www.bsc.ly</w:t>
            </w:r>
          </w:p>
        </w:tc>
      </w:tr>
      <w:tr w:rsidR="00D76AFD" w:rsidRPr="00F2456E" w14:paraId="5CE248D0" w14:textId="77777777" w:rsidTr="00D76AFD">
        <w:trPr>
          <w:trHeight w:val="290"/>
        </w:trPr>
        <w:tc>
          <w:tcPr>
            <w:tcW w:w="1345" w:type="dxa"/>
            <w:shd w:val="clear" w:color="auto" w:fill="auto"/>
            <w:noWrap/>
            <w:vAlign w:val="bottom"/>
            <w:hideMark/>
          </w:tcPr>
          <w:p w14:paraId="3E2ABE66" w14:textId="737AF3D9" w:rsidR="00D76AFD" w:rsidRPr="00F2456E" w:rsidRDefault="007B467B"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Morocco</w:t>
            </w:r>
          </w:p>
        </w:tc>
        <w:tc>
          <w:tcPr>
            <w:tcW w:w="4398" w:type="dxa"/>
            <w:shd w:val="clear" w:color="auto" w:fill="auto"/>
            <w:noWrap/>
            <w:vAlign w:val="bottom"/>
            <w:hideMark/>
          </w:tcPr>
          <w:p w14:paraId="08D72560"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Haut Commissariat au Plan (HCP), Morocco</w:t>
            </w:r>
          </w:p>
        </w:tc>
        <w:tc>
          <w:tcPr>
            <w:tcW w:w="3607" w:type="dxa"/>
            <w:shd w:val="clear" w:color="auto" w:fill="auto"/>
            <w:noWrap/>
            <w:vAlign w:val="bottom"/>
            <w:hideMark/>
          </w:tcPr>
          <w:p w14:paraId="40C190F1"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www.hcp.ma</w:t>
            </w:r>
          </w:p>
        </w:tc>
      </w:tr>
      <w:tr w:rsidR="00D76AFD" w:rsidRPr="00F2456E" w14:paraId="48FE98D2" w14:textId="77777777" w:rsidTr="00D76AFD">
        <w:trPr>
          <w:trHeight w:val="290"/>
        </w:trPr>
        <w:tc>
          <w:tcPr>
            <w:tcW w:w="1345" w:type="dxa"/>
            <w:shd w:val="clear" w:color="auto" w:fill="auto"/>
            <w:noWrap/>
            <w:vAlign w:val="bottom"/>
            <w:hideMark/>
          </w:tcPr>
          <w:p w14:paraId="4E0FBD8A" w14:textId="5C2576BA" w:rsidR="00D76AFD" w:rsidRPr="00F2456E" w:rsidRDefault="007B467B"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Oman</w:t>
            </w:r>
          </w:p>
        </w:tc>
        <w:tc>
          <w:tcPr>
            <w:tcW w:w="4398" w:type="dxa"/>
            <w:shd w:val="clear" w:color="auto" w:fill="auto"/>
            <w:noWrap/>
            <w:vAlign w:val="bottom"/>
            <w:hideMark/>
          </w:tcPr>
          <w:p w14:paraId="4CE73F0F"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National Centre for Statistics and Information (NCSI), Oman</w:t>
            </w:r>
          </w:p>
        </w:tc>
        <w:tc>
          <w:tcPr>
            <w:tcW w:w="3607" w:type="dxa"/>
            <w:shd w:val="clear" w:color="auto" w:fill="auto"/>
            <w:noWrap/>
            <w:vAlign w:val="bottom"/>
            <w:hideMark/>
          </w:tcPr>
          <w:p w14:paraId="5E6AF9D0"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www.ncsi.gov.om</w:t>
            </w:r>
          </w:p>
        </w:tc>
      </w:tr>
      <w:tr w:rsidR="00D76AFD" w:rsidRPr="00F2456E" w14:paraId="2D2C2FB1" w14:textId="77777777" w:rsidTr="00D76AFD">
        <w:trPr>
          <w:trHeight w:val="290"/>
        </w:trPr>
        <w:tc>
          <w:tcPr>
            <w:tcW w:w="1345" w:type="dxa"/>
            <w:shd w:val="clear" w:color="auto" w:fill="auto"/>
            <w:noWrap/>
            <w:vAlign w:val="bottom"/>
            <w:hideMark/>
          </w:tcPr>
          <w:p w14:paraId="016AA6EC" w14:textId="6BE58683" w:rsidR="00D76AFD" w:rsidRPr="00F2456E" w:rsidRDefault="007B467B"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Palestinian</w:t>
            </w:r>
          </w:p>
        </w:tc>
        <w:tc>
          <w:tcPr>
            <w:tcW w:w="4398" w:type="dxa"/>
            <w:shd w:val="clear" w:color="auto" w:fill="auto"/>
            <w:noWrap/>
            <w:vAlign w:val="bottom"/>
            <w:hideMark/>
          </w:tcPr>
          <w:p w14:paraId="73926E6B"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Palestinian Central Bureau of Statistics (PCBS)</w:t>
            </w:r>
          </w:p>
        </w:tc>
        <w:tc>
          <w:tcPr>
            <w:tcW w:w="3607" w:type="dxa"/>
            <w:shd w:val="clear" w:color="auto" w:fill="auto"/>
            <w:noWrap/>
            <w:vAlign w:val="bottom"/>
            <w:hideMark/>
          </w:tcPr>
          <w:p w14:paraId="53A2F209"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www.pcbs.gov.ps</w:t>
            </w:r>
          </w:p>
        </w:tc>
      </w:tr>
      <w:tr w:rsidR="00D76AFD" w:rsidRPr="00F2456E" w14:paraId="5B778B19" w14:textId="77777777" w:rsidTr="00D76AFD">
        <w:trPr>
          <w:trHeight w:val="290"/>
        </w:trPr>
        <w:tc>
          <w:tcPr>
            <w:tcW w:w="1345" w:type="dxa"/>
            <w:shd w:val="clear" w:color="auto" w:fill="auto"/>
            <w:noWrap/>
            <w:vAlign w:val="bottom"/>
            <w:hideMark/>
          </w:tcPr>
          <w:p w14:paraId="02ABE1BC" w14:textId="1D99FCA8" w:rsidR="00D76AFD" w:rsidRPr="00F2456E" w:rsidRDefault="007B467B"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Qatar</w:t>
            </w:r>
          </w:p>
        </w:tc>
        <w:tc>
          <w:tcPr>
            <w:tcW w:w="4398" w:type="dxa"/>
            <w:shd w:val="clear" w:color="auto" w:fill="auto"/>
            <w:noWrap/>
            <w:vAlign w:val="bottom"/>
            <w:hideMark/>
          </w:tcPr>
          <w:p w14:paraId="16FF9775"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Planning and Statistics Authority, Qatar</w:t>
            </w:r>
          </w:p>
        </w:tc>
        <w:tc>
          <w:tcPr>
            <w:tcW w:w="3607" w:type="dxa"/>
            <w:shd w:val="clear" w:color="auto" w:fill="auto"/>
            <w:noWrap/>
            <w:vAlign w:val="bottom"/>
            <w:hideMark/>
          </w:tcPr>
          <w:p w14:paraId="666212C9"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https://www.psa.gov.qa/en</w:t>
            </w:r>
          </w:p>
        </w:tc>
      </w:tr>
      <w:tr w:rsidR="00D76AFD" w:rsidRPr="00F2456E" w14:paraId="65046E8B" w14:textId="77777777" w:rsidTr="00D76AFD">
        <w:trPr>
          <w:trHeight w:val="290"/>
        </w:trPr>
        <w:tc>
          <w:tcPr>
            <w:tcW w:w="1345" w:type="dxa"/>
            <w:shd w:val="clear" w:color="auto" w:fill="auto"/>
            <w:noWrap/>
            <w:vAlign w:val="bottom"/>
            <w:hideMark/>
          </w:tcPr>
          <w:p w14:paraId="38926A63" w14:textId="648B3E66" w:rsidR="00D76AFD" w:rsidRPr="00F2456E" w:rsidRDefault="00EA6904"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Saudi Arabia</w:t>
            </w:r>
          </w:p>
        </w:tc>
        <w:tc>
          <w:tcPr>
            <w:tcW w:w="4398" w:type="dxa"/>
            <w:shd w:val="clear" w:color="auto" w:fill="auto"/>
            <w:noWrap/>
            <w:vAlign w:val="bottom"/>
            <w:hideMark/>
          </w:tcPr>
          <w:p w14:paraId="640820B8"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General Authority for Statistics, Saudi Arabia</w:t>
            </w:r>
          </w:p>
        </w:tc>
        <w:tc>
          <w:tcPr>
            <w:tcW w:w="3607" w:type="dxa"/>
            <w:shd w:val="clear" w:color="auto" w:fill="auto"/>
            <w:noWrap/>
            <w:vAlign w:val="bottom"/>
            <w:hideMark/>
          </w:tcPr>
          <w:p w14:paraId="26DC1AFF"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www.cdsi.gov.sa</w:t>
            </w:r>
          </w:p>
        </w:tc>
      </w:tr>
      <w:tr w:rsidR="00EA6904" w:rsidRPr="00F2456E" w14:paraId="02A50205" w14:textId="77777777" w:rsidTr="00CF3EFD">
        <w:trPr>
          <w:trHeight w:val="290"/>
        </w:trPr>
        <w:tc>
          <w:tcPr>
            <w:tcW w:w="1345" w:type="dxa"/>
            <w:shd w:val="clear" w:color="auto" w:fill="auto"/>
            <w:noWrap/>
            <w:hideMark/>
          </w:tcPr>
          <w:p w14:paraId="7611B664" w14:textId="03ED594A" w:rsidR="00EA6904" w:rsidRPr="00F2456E" w:rsidRDefault="00EA6904" w:rsidP="00EA6904">
            <w:pPr>
              <w:spacing w:line="240" w:lineRule="auto"/>
              <w:jc w:val="left"/>
              <w:rPr>
                <w:rFonts w:ascii="Arial Narrow" w:eastAsia="Times New Roman" w:hAnsi="Arial Narrow" w:cs="Calibri"/>
                <w:color w:val="000000"/>
                <w:sz w:val="20"/>
                <w:szCs w:val="20"/>
              </w:rPr>
            </w:pPr>
            <w:r w:rsidRPr="00CC4478">
              <w:rPr>
                <w:rFonts w:ascii="Arial Narrow" w:eastAsia="Times New Roman" w:hAnsi="Arial Narrow" w:cs="Calibri"/>
                <w:color w:val="000000"/>
                <w:sz w:val="20"/>
                <w:szCs w:val="20"/>
              </w:rPr>
              <w:t>Saudi Arabia</w:t>
            </w:r>
          </w:p>
        </w:tc>
        <w:tc>
          <w:tcPr>
            <w:tcW w:w="4398" w:type="dxa"/>
            <w:shd w:val="clear" w:color="auto" w:fill="auto"/>
            <w:noWrap/>
            <w:vAlign w:val="bottom"/>
            <w:hideMark/>
          </w:tcPr>
          <w:p w14:paraId="208F09C0" w14:textId="77777777" w:rsidR="00EA6904" w:rsidRPr="00F2456E" w:rsidRDefault="00EA6904" w:rsidP="00EA6904">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Ministry of Health, Saudi Arabia</w:t>
            </w:r>
          </w:p>
        </w:tc>
        <w:tc>
          <w:tcPr>
            <w:tcW w:w="3607" w:type="dxa"/>
            <w:shd w:val="clear" w:color="auto" w:fill="auto"/>
            <w:noWrap/>
            <w:vAlign w:val="bottom"/>
            <w:hideMark/>
          </w:tcPr>
          <w:p w14:paraId="2A75C220" w14:textId="77777777" w:rsidR="00EA6904" w:rsidRPr="00F2456E" w:rsidRDefault="00EA6904" w:rsidP="00EA6904">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https://www.stats.gov.sa/en</w:t>
            </w:r>
          </w:p>
        </w:tc>
      </w:tr>
      <w:tr w:rsidR="00D76AFD" w:rsidRPr="00F2456E" w14:paraId="2FD46BFF" w14:textId="77777777" w:rsidTr="00D76AFD">
        <w:trPr>
          <w:trHeight w:val="290"/>
        </w:trPr>
        <w:tc>
          <w:tcPr>
            <w:tcW w:w="1345" w:type="dxa"/>
            <w:shd w:val="clear" w:color="auto" w:fill="auto"/>
            <w:noWrap/>
            <w:vAlign w:val="bottom"/>
            <w:hideMark/>
          </w:tcPr>
          <w:p w14:paraId="46ABC060" w14:textId="1FB38835" w:rsidR="00D76AFD" w:rsidRPr="00F2456E" w:rsidRDefault="00EA6904"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Sudan</w:t>
            </w:r>
          </w:p>
        </w:tc>
        <w:tc>
          <w:tcPr>
            <w:tcW w:w="4398" w:type="dxa"/>
            <w:shd w:val="clear" w:color="auto" w:fill="auto"/>
            <w:noWrap/>
            <w:vAlign w:val="bottom"/>
            <w:hideMark/>
          </w:tcPr>
          <w:p w14:paraId="45FFFC6A"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Federal Ministry of Health, Republic of Sudan</w:t>
            </w:r>
          </w:p>
        </w:tc>
        <w:tc>
          <w:tcPr>
            <w:tcW w:w="3607" w:type="dxa"/>
            <w:shd w:val="clear" w:color="auto" w:fill="auto"/>
            <w:noWrap/>
            <w:vAlign w:val="bottom"/>
            <w:hideMark/>
          </w:tcPr>
          <w:p w14:paraId="08834AAC"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www.fmoh.gov.sd</w:t>
            </w:r>
          </w:p>
        </w:tc>
      </w:tr>
      <w:tr w:rsidR="00EA6904" w:rsidRPr="00F2456E" w14:paraId="31E77C81" w14:textId="77777777" w:rsidTr="00D76AFD">
        <w:trPr>
          <w:trHeight w:val="290"/>
        </w:trPr>
        <w:tc>
          <w:tcPr>
            <w:tcW w:w="1345" w:type="dxa"/>
            <w:shd w:val="clear" w:color="auto" w:fill="auto"/>
            <w:noWrap/>
            <w:vAlign w:val="bottom"/>
            <w:hideMark/>
          </w:tcPr>
          <w:p w14:paraId="033FE25E" w14:textId="6212FCD4" w:rsidR="00EA6904" w:rsidRPr="00F2456E" w:rsidRDefault="00EA6904" w:rsidP="00EA6904">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Sudan</w:t>
            </w:r>
          </w:p>
        </w:tc>
        <w:tc>
          <w:tcPr>
            <w:tcW w:w="4398" w:type="dxa"/>
            <w:shd w:val="clear" w:color="auto" w:fill="auto"/>
            <w:noWrap/>
            <w:vAlign w:val="bottom"/>
            <w:hideMark/>
          </w:tcPr>
          <w:p w14:paraId="44DBE3A0" w14:textId="77777777" w:rsidR="00EA6904" w:rsidRPr="00F2456E" w:rsidRDefault="00EA6904" w:rsidP="00EA6904">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Central Bureau of Statistics (CBS), Sudan</w:t>
            </w:r>
          </w:p>
        </w:tc>
        <w:tc>
          <w:tcPr>
            <w:tcW w:w="3607" w:type="dxa"/>
            <w:shd w:val="clear" w:color="auto" w:fill="auto"/>
            <w:noWrap/>
            <w:vAlign w:val="bottom"/>
            <w:hideMark/>
          </w:tcPr>
          <w:p w14:paraId="42B842CD" w14:textId="77777777" w:rsidR="00EA6904" w:rsidRPr="00F2456E" w:rsidRDefault="00EA6904" w:rsidP="00EA6904">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http://www.cbs.gov.sd/</w:t>
            </w:r>
          </w:p>
        </w:tc>
      </w:tr>
      <w:tr w:rsidR="00D76AFD" w:rsidRPr="00F2456E" w14:paraId="72D8905A" w14:textId="77777777" w:rsidTr="006E03D2">
        <w:trPr>
          <w:trHeight w:val="290"/>
        </w:trPr>
        <w:tc>
          <w:tcPr>
            <w:tcW w:w="1345" w:type="dxa"/>
            <w:shd w:val="clear" w:color="auto" w:fill="auto"/>
            <w:noWrap/>
            <w:vAlign w:val="bottom"/>
            <w:hideMark/>
          </w:tcPr>
          <w:p w14:paraId="0CC3CF6E" w14:textId="584CB557" w:rsidR="00D76AFD" w:rsidRPr="00F2456E" w:rsidRDefault="00EA6904"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Syria</w:t>
            </w:r>
          </w:p>
        </w:tc>
        <w:tc>
          <w:tcPr>
            <w:tcW w:w="4398" w:type="dxa"/>
            <w:shd w:val="clear" w:color="auto" w:fill="auto"/>
            <w:noWrap/>
            <w:vAlign w:val="bottom"/>
            <w:hideMark/>
          </w:tcPr>
          <w:p w14:paraId="4EF979B8"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Central Bureau of Statistics (CBS), Syria</w:t>
            </w:r>
          </w:p>
        </w:tc>
        <w:tc>
          <w:tcPr>
            <w:tcW w:w="3607" w:type="dxa"/>
            <w:shd w:val="clear" w:color="auto" w:fill="auto"/>
            <w:noWrap/>
            <w:vAlign w:val="bottom"/>
            <w:hideMark/>
          </w:tcPr>
          <w:p w14:paraId="53BF742C"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http://www.cbssyr.sy/people%20statistics/Final_Report_Syria_ARB.pdf</w:t>
            </w:r>
          </w:p>
        </w:tc>
      </w:tr>
      <w:tr w:rsidR="00D76AFD" w:rsidRPr="00F2456E" w14:paraId="7DBA64C8" w14:textId="77777777" w:rsidTr="006E03D2">
        <w:trPr>
          <w:trHeight w:val="290"/>
        </w:trPr>
        <w:tc>
          <w:tcPr>
            <w:tcW w:w="1345" w:type="dxa"/>
            <w:shd w:val="clear" w:color="auto" w:fill="auto"/>
            <w:noWrap/>
            <w:vAlign w:val="bottom"/>
            <w:hideMark/>
          </w:tcPr>
          <w:p w14:paraId="7926BAC3" w14:textId="4C3300DD" w:rsidR="00D76AFD" w:rsidRPr="00F2456E" w:rsidRDefault="00EA6904"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Tunisia</w:t>
            </w:r>
          </w:p>
        </w:tc>
        <w:tc>
          <w:tcPr>
            <w:tcW w:w="4398" w:type="dxa"/>
            <w:shd w:val="clear" w:color="auto" w:fill="auto"/>
            <w:noWrap/>
            <w:vAlign w:val="bottom"/>
            <w:hideMark/>
          </w:tcPr>
          <w:p w14:paraId="5DD7C499"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National Institute of Statistics (INS), Tunisia</w:t>
            </w:r>
          </w:p>
        </w:tc>
        <w:tc>
          <w:tcPr>
            <w:tcW w:w="3607" w:type="dxa"/>
            <w:shd w:val="clear" w:color="auto" w:fill="auto"/>
            <w:noWrap/>
            <w:vAlign w:val="bottom"/>
            <w:hideMark/>
          </w:tcPr>
          <w:p w14:paraId="399E01DE"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www.ins.tn</w:t>
            </w:r>
          </w:p>
        </w:tc>
      </w:tr>
      <w:tr w:rsidR="00EA6904" w:rsidRPr="00F2456E" w14:paraId="3A99A0CA" w14:textId="77777777" w:rsidTr="00D76AFD">
        <w:trPr>
          <w:trHeight w:val="290"/>
        </w:trPr>
        <w:tc>
          <w:tcPr>
            <w:tcW w:w="1345" w:type="dxa"/>
            <w:shd w:val="clear" w:color="auto" w:fill="auto"/>
            <w:noWrap/>
            <w:vAlign w:val="bottom"/>
            <w:hideMark/>
          </w:tcPr>
          <w:p w14:paraId="7F1740BF" w14:textId="0989CBA6" w:rsidR="00EA6904" w:rsidRPr="00F2456E" w:rsidRDefault="00EA6904" w:rsidP="00EA6904">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Tunisia</w:t>
            </w:r>
          </w:p>
        </w:tc>
        <w:tc>
          <w:tcPr>
            <w:tcW w:w="4398" w:type="dxa"/>
            <w:shd w:val="clear" w:color="auto" w:fill="auto"/>
            <w:noWrap/>
            <w:vAlign w:val="bottom"/>
            <w:hideMark/>
          </w:tcPr>
          <w:p w14:paraId="3A1BE6B5" w14:textId="77777777" w:rsidR="00EA6904" w:rsidRPr="00F2456E" w:rsidRDefault="00EA6904" w:rsidP="00EA6904">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Ministry of Health, Tunisia</w:t>
            </w:r>
          </w:p>
        </w:tc>
        <w:tc>
          <w:tcPr>
            <w:tcW w:w="3607" w:type="dxa"/>
            <w:shd w:val="clear" w:color="auto" w:fill="auto"/>
            <w:noWrap/>
            <w:vAlign w:val="bottom"/>
            <w:hideMark/>
          </w:tcPr>
          <w:p w14:paraId="5B6E8964" w14:textId="77777777" w:rsidR="00EA6904" w:rsidRPr="00F2456E" w:rsidRDefault="00EA6904" w:rsidP="00EA6904">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www.santetunisie.rns.tn</w:t>
            </w:r>
          </w:p>
        </w:tc>
      </w:tr>
      <w:tr w:rsidR="00A61A4B" w:rsidRPr="00F2456E" w14:paraId="3752AE96" w14:textId="77777777" w:rsidTr="003105B9">
        <w:trPr>
          <w:trHeight w:val="290"/>
        </w:trPr>
        <w:tc>
          <w:tcPr>
            <w:tcW w:w="1345" w:type="dxa"/>
            <w:shd w:val="clear" w:color="auto" w:fill="auto"/>
            <w:noWrap/>
            <w:vAlign w:val="bottom"/>
            <w:hideMark/>
          </w:tcPr>
          <w:p w14:paraId="316299AC" w14:textId="36645BBC" w:rsidR="00A61A4B" w:rsidRPr="00F2456E" w:rsidRDefault="00EA6904" w:rsidP="003105B9">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United Arab Emirates</w:t>
            </w:r>
          </w:p>
        </w:tc>
        <w:tc>
          <w:tcPr>
            <w:tcW w:w="4398" w:type="dxa"/>
            <w:shd w:val="clear" w:color="auto" w:fill="auto"/>
            <w:noWrap/>
            <w:vAlign w:val="bottom"/>
            <w:hideMark/>
          </w:tcPr>
          <w:p w14:paraId="2EAE2B5C" w14:textId="77777777" w:rsidR="00A61A4B" w:rsidRPr="00F2456E" w:rsidRDefault="00A61A4B" w:rsidP="003105B9">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Federal Competitiveness and Statistics Authority (FCSA), United Arab Emirates</w:t>
            </w:r>
          </w:p>
        </w:tc>
        <w:tc>
          <w:tcPr>
            <w:tcW w:w="3607" w:type="dxa"/>
            <w:shd w:val="clear" w:color="auto" w:fill="auto"/>
            <w:noWrap/>
            <w:vAlign w:val="bottom"/>
            <w:hideMark/>
          </w:tcPr>
          <w:p w14:paraId="6AC23406" w14:textId="77777777" w:rsidR="00A61A4B" w:rsidRPr="00F2456E" w:rsidRDefault="00A61A4B" w:rsidP="003105B9">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www.fcsa.gov.ae</w:t>
            </w:r>
          </w:p>
        </w:tc>
      </w:tr>
      <w:tr w:rsidR="00D76AFD" w:rsidRPr="00F2456E" w14:paraId="3929627B" w14:textId="77777777" w:rsidTr="00D76AFD">
        <w:trPr>
          <w:trHeight w:val="290"/>
        </w:trPr>
        <w:tc>
          <w:tcPr>
            <w:tcW w:w="1345" w:type="dxa"/>
            <w:shd w:val="clear" w:color="auto" w:fill="auto"/>
            <w:noWrap/>
            <w:vAlign w:val="bottom"/>
            <w:hideMark/>
          </w:tcPr>
          <w:p w14:paraId="32BA2898" w14:textId="5746F882" w:rsidR="00D76AFD" w:rsidRPr="00F2456E" w:rsidRDefault="00EA6904" w:rsidP="00D76AFD">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Yemen</w:t>
            </w:r>
          </w:p>
        </w:tc>
        <w:tc>
          <w:tcPr>
            <w:tcW w:w="4398" w:type="dxa"/>
            <w:shd w:val="clear" w:color="auto" w:fill="auto"/>
            <w:noWrap/>
            <w:vAlign w:val="bottom"/>
            <w:hideMark/>
          </w:tcPr>
          <w:p w14:paraId="2AB42670"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 xml:space="preserve">Central Statistical </w:t>
            </w:r>
            <w:proofErr w:type="spellStart"/>
            <w:r w:rsidRPr="00F2456E">
              <w:rPr>
                <w:rFonts w:ascii="Arial Narrow" w:eastAsia="Times New Roman" w:hAnsi="Arial Narrow" w:cs="Calibri"/>
                <w:color w:val="000000"/>
                <w:sz w:val="20"/>
                <w:szCs w:val="20"/>
              </w:rPr>
              <w:t>Organisation</w:t>
            </w:r>
            <w:proofErr w:type="spellEnd"/>
            <w:r w:rsidRPr="00F2456E">
              <w:rPr>
                <w:rFonts w:ascii="Arial Narrow" w:eastAsia="Times New Roman" w:hAnsi="Arial Narrow" w:cs="Calibri"/>
                <w:color w:val="000000"/>
                <w:sz w:val="20"/>
                <w:szCs w:val="20"/>
              </w:rPr>
              <w:t xml:space="preserve"> (CSO), Yemen</w:t>
            </w:r>
          </w:p>
        </w:tc>
        <w:tc>
          <w:tcPr>
            <w:tcW w:w="3607" w:type="dxa"/>
            <w:shd w:val="clear" w:color="auto" w:fill="auto"/>
            <w:noWrap/>
            <w:vAlign w:val="bottom"/>
            <w:hideMark/>
          </w:tcPr>
          <w:p w14:paraId="5C335AA5" w14:textId="77777777" w:rsidR="00D76AFD" w:rsidRPr="00F2456E" w:rsidRDefault="00D76AFD" w:rsidP="00D76AFD">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www.cso-yemen.org</w:t>
            </w:r>
          </w:p>
        </w:tc>
      </w:tr>
      <w:tr w:rsidR="00EA6904" w:rsidRPr="00F2456E" w14:paraId="2DBBF54E" w14:textId="77777777" w:rsidTr="00D76AFD">
        <w:trPr>
          <w:trHeight w:val="290"/>
        </w:trPr>
        <w:tc>
          <w:tcPr>
            <w:tcW w:w="1345" w:type="dxa"/>
            <w:shd w:val="clear" w:color="auto" w:fill="auto"/>
            <w:noWrap/>
            <w:vAlign w:val="bottom"/>
            <w:hideMark/>
          </w:tcPr>
          <w:p w14:paraId="03B3C9CD" w14:textId="492203B2" w:rsidR="00EA6904" w:rsidRPr="00F2456E" w:rsidRDefault="00EA6904" w:rsidP="00EA6904">
            <w:pPr>
              <w:spacing w:line="240" w:lineRule="auto"/>
              <w:jc w:val="lef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Yemen</w:t>
            </w:r>
          </w:p>
        </w:tc>
        <w:tc>
          <w:tcPr>
            <w:tcW w:w="4398" w:type="dxa"/>
            <w:shd w:val="clear" w:color="auto" w:fill="auto"/>
            <w:noWrap/>
            <w:vAlign w:val="bottom"/>
            <w:hideMark/>
          </w:tcPr>
          <w:p w14:paraId="23516B08" w14:textId="77777777" w:rsidR="00EA6904" w:rsidRPr="00F2456E" w:rsidRDefault="00EA6904" w:rsidP="00EA6904">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Ministry of Public Health and Population, Yemen</w:t>
            </w:r>
          </w:p>
        </w:tc>
        <w:tc>
          <w:tcPr>
            <w:tcW w:w="3607" w:type="dxa"/>
            <w:shd w:val="clear" w:color="auto" w:fill="auto"/>
            <w:noWrap/>
            <w:vAlign w:val="bottom"/>
            <w:hideMark/>
          </w:tcPr>
          <w:p w14:paraId="0583D62B" w14:textId="77777777" w:rsidR="00EA6904" w:rsidRPr="00F2456E" w:rsidRDefault="00EA6904" w:rsidP="00EA6904">
            <w:pPr>
              <w:spacing w:line="240" w:lineRule="auto"/>
              <w:jc w:val="left"/>
              <w:rPr>
                <w:rFonts w:ascii="Arial Narrow" w:eastAsia="Times New Roman" w:hAnsi="Arial Narrow" w:cs="Calibri"/>
                <w:color w:val="000000"/>
                <w:sz w:val="20"/>
                <w:szCs w:val="20"/>
              </w:rPr>
            </w:pPr>
            <w:r w:rsidRPr="00F2456E">
              <w:rPr>
                <w:rFonts w:ascii="Arial Narrow" w:eastAsia="Times New Roman" w:hAnsi="Arial Narrow" w:cs="Calibri"/>
                <w:color w:val="000000"/>
                <w:sz w:val="20"/>
                <w:szCs w:val="20"/>
              </w:rPr>
              <w:t>http://www.moh.gov.ye/arabic/report_2004.html</w:t>
            </w:r>
          </w:p>
        </w:tc>
      </w:tr>
    </w:tbl>
    <w:p w14:paraId="07107486" w14:textId="1D52DE72" w:rsidR="00757A90" w:rsidRDefault="00757A90" w:rsidP="001937D5"/>
    <w:p w14:paraId="0F2C83DF" w14:textId="77777777" w:rsidR="00757A90" w:rsidRDefault="00757A90" w:rsidP="001937D5"/>
    <w:p w14:paraId="7A9204EE" w14:textId="0C645BF8" w:rsidR="00E93871" w:rsidRDefault="00E93871">
      <w:pPr>
        <w:spacing w:line="240" w:lineRule="auto"/>
      </w:pPr>
    </w:p>
    <w:sectPr w:rsidR="00E93871" w:rsidSect="00116158">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C233" w14:textId="77777777" w:rsidR="00B62B74" w:rsidRDefault="00B62B74" w:rsidP="00116158">
      <w:pPr>
        <w:spacing w:line="240" w:lineRule="auto"/>
      </w:pPr>
      <w:r>
        <w:separator/>
      </w:r>
    </w:p>
  </w:endnote>
  <w:endnote w:type="continuationSeparator" w:id="0">
    <w:p w14:paraId="443CF79C" w14:textId="77777777" w:rsidR="00B62B74" w:rsidRDefault="00B62B74" w:rsidP="00116158">
      <w:pPr>
        <w:spacing w:line="240" w:lineRule="auto"/>
      </w:pPr>
      <w:r>
        <w:continuationSeparator/>
      </w:r>
    </w:p>
  </w:endnote>
  <w:endnote w:type="continuationNotice" w:id="1">
    <w:p w14:paraId="34AD405B" w14:textId="77777777" w:rsidR="00B62B74" w:rsidRDefault="00B62B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aker 2 Lance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248C" w14:textId="0922A257" w:rsidR="005A5FDC" w:rsidRDefault="005A5FDC" w:rsidP="00116158">
    <w:pPr>
      <w:pStyle w:val="Footer"/>
      <w:jc w:val="center"/>
    </w:pPr>
  </w:p>
  <w:p w14:paraId="0561CA95" w14:textId="77777777" w:rsidR="005A5FDC" w:rsidRDefault="005A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54243"/>
      <w:docPartObj>
        <w:docPartGallery w:val="Page Numbers (Bottom of Page)"/>
        <w:docPartUnique/>
      </w:docPartObj>
    </w:sdtPr>
    <w:sdtEndPr>
      <w:rPr>
        <w:noProof/>
      </w:rPr>
    </w:sdtEndPr>
    <w:sdtContent>
      <w:p w14:paraId="3884E13B" w14:textId="77777777" w:rsidR="005A5FDC" w:rsidRDefault="005A5FDC">
        <w:pPr>
          <w:pStyle w:val="Footer"/>
          <w:jc w:val="center"/>
        </w:pPr>
        <w:r>
          <w:fldChar w:fldCharType="begin"/>
        </w:r>
        <w:r>
          <w:instrText xml:space="preserve"> PAGE   \* MERGEFORMAT </w:instrText>
        </w:r>
        <w:r>
          <w:fldChar w:fldCharType="separate"/>
        </w:r>
        <w:r w:rsidR="000C49A2">
          <w:rPr>
            <w:noProof/>
          </w:rPr>
          <w:t>i</w:t>
        </w:r>
        <w:r>
          <w:rPr>
            <w:noProof/>
          </w:rPr>
          <w:fldChar w:fldCharType="end"/>
        </w:r>
      </w:p>
    </w:sdtContent>
  </w:sdt>
  <w:p w14:paraId="5CC16F78" w14:textId="77777777" w:rsidR="005A5FDC" w:rsidRDefault="005A5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013820"/>
      <w:docPartObj>
        <w:docPartGallery w:val="Page Numbers (Bottom of Page)"/>
        <w:docPartUnique/>
      </w:docPartObj>
    </w:sdtPr>
    <w:sdtEndPr>
      <w:rPr>
        <w:noProof/>
      </w:rPr>
    </w:sdtEndPr>
    <w:sdtContent>
      <w:p w14:paraId="59E9D73E" w14:textId="77777777" w:rsidR="005A5FDC" w:rsidRDefault="005A5FDC">
        <w:pPr>
          <w:pStyle w:val="Footer"/>
          <w:jc w:val="center"/>
        </w:pPr>
        <w:r>
          <w:fldChar w:fldCharType="begin"/>
        </w:r>
        <w:r>
          <w:instrText xml:space="preserve"> PAGE   \* MERGEFORMAT </w:instrText>
        </w:r>
        <w:r>
          <w:fldChar w:fldCharType="separate"/>
        </w:r>
        <w:r w:rsidR="004719FC">
          <w:rPr>
            <w:noProof/>
          </w:rPr>
          <w:t>20</w:t>
        </w:r>
        <w:r>
          <w:rPr>
            <w:noProof/>
          </w:rPr>
          <w:fldChar w:fldCharType="end"/>
        </w:r>
      </w:p>
    </w:sdtContent>
  </w:sdt>
  <w:p w14:paraId="7AF34C9F" w14:textId="77777777" w:rsidR="005A5FDC" w:rsidRDefault="005A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8182" w14:textId="77777777" w:rsidR="00B62B74" w:rsidRDefault="00B62B74" w:rsidP="00116158">
      <w:pPr>
        <w:spacing w:line="240" w:lineRule="auto"/>
      </w:pPr>
      <w:r>
        <w:separator/>
      </w:r>
    </w:p>
  </w:footnote>
  <w:footnote w:type="continuationSeparator" w:id="0">
    <w:p w14:paraId="60AE30C5" w14:textId="77777777" w:rsidR="00B62B74" w:rsidRDefault="00B62B74" w:rsidP="00116158">
      <w:pPr>
        <w:spacing w:line="240" w:lineRule="auto"/>
      </w:pPr>
      <w:r>
        <w:continuationSeparator/>
      </w:r>
    </w:p>
  </w:footnote>
  <w:footnote w:type="continuationNotice" w:id="1">
    <w:p w14:paraId="181BDFF2" w14:textId="77777777" w:rsidR="00B62B74" w:rsidRDefault="00B62B7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A02"/>
    <w:multiLevelType w:val="hybridMultilevel"/>
    <w:tmpl w:val="541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49E9"/>
    <w:multiLevelType w:val="hybridMultilevel"/>
    <w:tmpl w:val="70F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85C56"/>
    <w:multiLevelType w:val="hybridMultilevel"/>
    <w:tmpl w:val="E7C0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8E1342">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D358F"/>
    <w:multiLevelType w:val="hybridMultilevel"/>
    <w:tmpl w:val="BD4C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275C"/>
    <w:multiLevelType w:val="hybridMultilevel"/>
    <w:tmpl w:val="452A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239F1"/>
    <w:multiLevelType w:val="hybridMultilevel"/>
    <w:tmpl w:val="474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35C8"/>
    <w:multiLevelType w:val="hybridMultilevel"/>
    <w:tmpl w:val="CBAC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A0B58"/>
    <w:multiLevelType w:val="hybridMultilevel"/>
    <w:tmpl w:val="D682D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92ABC"/>
    <w:multiLevelType w:val="hybridMultilevel"/>
    <w:tmpl w:val="5CBE40A8"/>
    <w:lvl w:ilvl="0" w:tplc="E8EEA42A">
      <w:start w:val="1"/>
      <w:numFmt w:val="decimal"/>
      <w:lvlText w:val="%1."/>
      <w:lvlJc w:val="left"/>
      <w:pPr>
        <w:tabs>
          <w:tab w:val="num" w:pos="720"/>
        </w:tabs>
        <w:ind w:left="720" w:hanging="360"/>
      </w:pPr>
    </w:lvl>
    <w:lvl w:ilvl="1" w:tplc="48648044" w:tentative="1">
      <w:start w:val="1"/>
      <w:numFmt w:val="decimal"/>
      <w:lvlText w:val="%2."/>
      <w:lvlJc w:val="left"/>
      <w:pPr>
        <w:tabs>
          <w:tab w:val="num" w:pos="1440"/>
        </w:tabs>
        <w:ind w:left="1440" w:hanging="360"/>
      </w:pPr>
    </w:lvl>
    <w:lvl w:ilvl="2" w:tplc="38243934" w:tentative="1">
      <w:start w:val="1"/>
      <w:numFmt w:val="decimal"/>
      <w:lvlText w:val="%3."/>
      <w:lvlJc w:val="left"/>
      <w:pPr>
        <w:tabs>
          <w:tab w:val="num" w:pos="2160"/>
        </w:tabs>
        <w:ind w:left="2160" w:hanging="360"/>
      </w:pPr>
    </w:lvl>
    <w:lvl w:ilvl="3" w:tplc="FEE42D54" w:tentative="1">
      <w:start w:val="1"/>
      <w:numFmt w:val="decimal"/>
      <w:lvlText w:val="%4."/>
      <w:lvlJc w:val="left"/>
      <w:pPr>
        <w:tabs>
          <w:tab w:val="num" w:pos="2880"/>
        </w:tabs>
        <w:ind w:left="2880" w:hanging="360"/>
      </w:pPr>
    </w:lvl>
    <w:lvl w:ilvl="4" w:tplc="3EB86BD0" w:tentative="1">
      <w:start w:val="1"/>
      <w:numFmt w:val="decimal"/>
      <w:lvlText w:val="%5."/>
      <w:lvlJc w:val="left"/>
      <w:pPr>
        <w:tabs>
          <w:tab w:val="num" w:pos="3600"/>
        </w:tabs>
        <w:ind w:left="3600" w:hanging="360"/>
      </w:pPr>
    </w:lvl>
    <w:lvl w:ilvl="5" w:tplc="8124B08A" w:tentative="1">
      <w:start w:val="1"/>
      <w:numFmt w:val="decimal"/>
      <w:lvlText w:val="%6."/>
      <w:lvlJc w:val="left"/>
      <w:pPr>
        <w:tabs>
          <w:tab w:val="num" w:pos="4320"/>
        </w:tabs>
        <w:ind w:left="4320" w:hanging="360"/>
      </w:pPr>
    </w:lvl>
    <w:lvl w:ilvl="6" w:tplc="1D8CE0F6" w:tentative="1">
      <w:start w:val="1"/>
      <w:numFmt w:val="decimal"/>
      <w:lvlText w:val="%7."/>
      <w:lvlJc w:val="left"/>
      <w:pPr>
        <w:tabs>
          <w:tab w:val="num" w:pos="5040"/>
        </w:tabs>
        <w:ind w:left="5040" w:hanging="360"/>
      </w:pPr>
    </w:lvl>
    <w:lvl w:ilvl="7" w:tplc="BFD4C5CA" w:tentative="1">
      <w:start w:val="1"/>
      <w:numFmt w:val="decimal"/>
      <w:lvlText w:val="%8."/>
      <w:lvlJc w:val="left"/>
      <w:pPr>
        <w:tabs>
          <w:tab w:val="num" w:pos="5760"/>
        </w:tabs>
        <w:ind w:left="5760" w:hanging="360"/>
      </w:pPr>
    </w:lvl>
    <w:lvl w:ilvl="8" w:tplc="64EAE15A" w:tentative="1">
      <w:start w:val="1"/>
      <w:numFmt w:val="decimal"/>
      <w:lvlText w:val="%9."/>
      <w:lvlJc w:val="left"/>
      <w:pPr>
        <w:tabs>
          <w:tab w:val="num" w:pos="6480"/>
        </w:tabs>
        <w:ind w:left="6480" w:hanging="360"/>
      </w:pPr>
    </w:lvl>
  </w:abstractNum>
  <w:abstractNum w:abstractNumId="9" w15:restartNumberingAfterBreak="0">
    <w:nsid w:val="1D2A01B8"/>
    <w:multiLevelType w:val="hybridMultilevel"/>
    <w:tmpl w:val="38B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F7FCB"/>
    <w:multiLevelType w:val="hybridMultilevel"/>
    <w:tmpl w:val="A07C64E2"/>
    <w:lvl w:ilvl="0" w:tplc="A20C1DDE">
      <w:start w:val="1"/>
      <w:numFmt w:val="bullet"/>
      <w:lvlText w:val="•"/>
      <w:lvlJc w:val="left"/>
      <w:pPr>
        <w:tabs>
          <w:tab w:val="num" w:pos="720"/>
        </w:tabs>
        <w:ind w:left="720" w:hanging="360"/>
      </w:pPr>
      <w:rPr>
        <w:rFonts w:ascii="Times New Roman" w:hAnsi="Times New Roman" w:hint="default"/>
      </w:rPr>
    </w:lvl>
    <w:lvl w:ilvl="1" w:tplc="29E46A24">
      <w:start w:val="1"/>
      <w:numFmt w:val="bullet"/>
      <w:lvlText w:val="•"/>
      <w:lvlJc w:val="left"/>
      <w:pPr>
        <w:tabs>
          <w:tab w:val="num" w:pos="1440"/>
        </w:tabs>
        <w:ind w:left="1440" w:hanging="360"/>
      </w:pPr>
      <w:rPr>
        <w:rFonts w:ascii="Times New Roman" w:hAnsi="Times New Roman" w:hint="default"/>
      </w:rPr>
    </w:lvl>
    <w:lvl w:ilvl="2" w:tplc="5F78E546" w:tentative="1">
      <w:start w:val="1"/>
      <w:numFmt w:val="bullet"/>
      <w:lvlText w:val="•"/>
      <w:lvlJc w:val="left"/>
      <w:pPr>
        <w:tabs>
          <w:tab w:val="num" w:pos="2160"/>
        </w:tabs>
        <w:ind w:left="2160" w:hanging="360"/>
      </w:pPr>
      <w:rPr>
        <w:rFonts w:ascii="Times New Roman" w:hAnsi="Times New Roman" w:hint="default"/>
      </w:rPr>
    </w:lvl>
    <w:lvl w:ilvl="3" w:tplc="5D5627E0" w:tentative="1">
      <w:start w:val="1"/>
      <w:numFmt w:val="bullet"/>
      <w:lvlText w:val="•"/>
      <w:lvlJc w:val="left"/>
      <w:pPr>
        <w:tabs>
          <w:tab w:val="num" w:pos="2880"/>
        </w:tabs>
        <w:ind w:left="2880" w:hanging="360"/>
      </w:pPr>
      <w:rPr>
        <w:rFonts w:ascii="Times New Roman" w:hAnsi="Times New Roman" w:hint="default"/>
      </w:rPr>
    </w:lvl>
    <w:lvl w:ilvl="4" w:tplc="344E05CA" w:tentative="1">
      <w:start w:val="1"/>
      <w:numFmt w:val="bullet"/>
      <w:lvlText w:val="•"/>
      <w:lvlJc w:val="left"/>
      <w:pPr>
        <w:tabs>
          <w:tab w:val="num" w:pos="3600"/>
        </w:tabs>
        <w:ind w:left="3600" w:hanging="360"/>
      </w:pPr>
      <w:rPr>
        <w:rFonts w:ascii="Times New Roman" w:hAnsi="Times New Roman" w:hint="default"/>
      </w:rPr>
    </w:lvl>
    <w:lvl w:ilvl="5" w:tplc="7F961306" w:tentative="1">
      <w:start w:val="1"/>
      <w:numFmt w:val="bullet"/>
      <w:lvlText w:val="•"/>
      <w:lvlJc w:val="left"/>
      <w:pPr>
        <w:tabs>
          <w:tab w:val="num" w:pos="4320"/>
        </w:tabs>
        <w:ind w:left="4320" w:hanging="360"/>
      </w:pPr>
      <w:rPr>
        <w:rFonts w:ascii="Times New Roman" w:hAnsi="Times New Roman" w:hint="default"/>
      </w:rPr>
    </w:lvl>
    <w:lvl w:ilvl="6" w:tplc="429EFDDC" w:tentative="1">
      <w:start w:val="1"/>
      <w:numFmt w:val="bullet"/>
      <w:lvlText w:val="•"/>
      <w:lvlJc w:val="left"/>
      <w:pPr>
        <w:tabs>
          <w:tab w:val="num" w:pos="5040"/>
        </w:tabs>
        <w:ind w:left="5040" w:hanging="360"/>
      </w:pPr>
      <w:rPr>
        <w:rFonts w:ascii="Times New Roman" w:hAnsi="Times New Roman" w:hint="default"/>
      </w:rPr>
    </w:lvl>
    <w:lvl w:ilvl="7" w:tplc="AFBEB3A4" w:tentative="1">
      <w:start w:val="1"/>
      <w:numFmt w:val="bullet"/>
      <w:lvlText w:val="•"/>
      <w:lvlJc w:val="left"/>
      <w:pPr>
        <w:tabs>
          <w:tab w:val="num" w:pos="5760"/>
        </w:tabs>
        <w:ind w:left="5760" w:hanging="360"/>
      </w:pPr>
      <w:rPr>
        <w:rFonts w:ascii="Times New Roman" w:hAnsi="Times New Roman" w:hint="default"/>
      </w:rPr>
    </w:lvl>
    <w:lvl w:ilvl="8" w:tplc="0E4A8A7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8A0A4C"/>
    <w:multiLevelType w:val="hybridMultilevel"/>
    <w:tmpl w:val="8ABA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90B2B"/>
    <w:multiLevelType w:val="hybridMultilevel"/>
    <w:tmpl w:val="D8026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CE8387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75051"/>
    <w:multiLevelType w:val="hybridMultilevel"/>
    <w:tmpl w:val="EFBA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23B82"/>
    <w:multiLevelType w:val="hybridMultilevel"/>
    <w:tmpl w:val="3974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74971"/>
    <w:multiLevelType w:val="hybridMultilevel"/>
    <w:tmpl w:val="1762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A4737"/>
    <w:multiLevelType w:val="hybridMultilevel"/>
    <w:tmpl w:val="11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E2A9E"/>
    <w:multiLevelType w:val="hybridMultilevel"/>
    <w:tmpl w:val="5B96F288"/>
    <w:lvl w:ilvl="0" w:tplc="EDC64C92">
      <w:start w:val="1"/>
      <w:numFmt w:val="bullet"/>
      <w:lvlText w:val="•"/>
      <w:lvlJc w:val="left"/>
      <w:pPr>
        <w:tabs>
          <w:tab w:val="num" w:pos="720"/>
        </w:tabs>
        <w:ind w:left="720" w:hanging="360"/>
      </w:pPr>
      <w:rPr>
        <w:rFonts w:ascii="Times New Roman" w:hAnsi="Times New Roman" w:hint="default"/>
      </w:rPr>
    </w:lvl>
    <w:lvl w:ilvl="1" w:tplc="D4904CDA">
      <w:start w:val="1"/>
      <w:numFmt w:val="bullet"/>
      <w:lvlText w:val="•"/>
      <w:lvlJc w:val="left"/>
      <w:pPr>
        <w:tabs>
          <w:tab w:val="num" w:pos="1440"/>
        </w:tabs>
        <w:ind w:left="1440" w:hanging="360"/>
      </w:pPr>
      <w:rPr>
        <w:rFonts w:ascii="Times New Roman" w:hAnsi="Times New Roman" w:hint="default"/>
      </w:rPr>
    </w:lvl>
    <w:lvl w:ilvl="2" w:tplc="A0A0BE4C" w:tentative="1">
      <w:start w:val="1"/>
      <w:numFmt w:val="bullet"/>
      <w:lvlText w:val="•"/>
      <w:lvlJc w:val="left"/>
      <w:pPr>
        <w:tabs>
          <w:tab w:val="num" w:pos="2160"/>
        </w:tabs>
        <w:ind w:left="2160" w:hanging="360"/>
      </w:pPr>
      <w:rPr>
        <w:rFonts w:ascii="Times New Roman" w:hAnsi="Times New Roman" w:hint="default"/>
      </w:rPr>
    </w:lvl>
    <w:lvl w:ilvl="3" w:tplc="0DDE572C" w:tentative="1">
      <w:start w:val="1"/>
      <w:numFmt w:val="bullet"/>
      <w:lvlText w:val="•"/>
      <w:lvlJc w:val="left"/>
      <w:pPr>
        <w:tabs>
          <w:tab w:val="num" w:pos="2880"/>
        </w:tabs>
        <w:ind w:left="2880" w:hanging="360"/>
      </w:pPr>
      <w:rPr>
        <w:rFonts w:ascii="Times New Roman" w:hAnsi="Times New Roman" w:hint="default"/>
      </w:rPr>
    </w:lvl>
    <w:lvl w:ilvl="4" w:tplc="CB6ED99A" w:tentative="1">
      <w:start w:val="1"/>
      <w:numFmt w:val="bullet"/>
      <w:lvlText w:val="•"/>
      <w:lvlJc w:val="left"/>
      <w:pPr>
        <w:tabs>
          <w:tab w:val="num" w:pos="3600"/>
        </w:tabs>
        <w:ind w:left="3600" w:hanging="360"/>
      </w:pPr>
      <w:rPr>
        <w:rFonts w:ascii="Times New Roman" w:hAnsi="Times New Roman" w:hint="default"/>
      </w:rPr>
    </w:lvl>
    <w:lvl w:ilvl="5" w:tplc="79BA766C" w:tentative="1">
      <w:start w:val="1"/>
      <w:numFmt w:val="bullet"/>
      <w:lvlText w:val="•"/>
      <w:lvlJc w:val="left"/>
      <w:pPr>
        <w:tabs>
          <w:tab w:val="num" w:pos="4320"/>
        </w:tabs>
        <w:ind w:left="4320" w:hanging="360"/>
      </w:pPr>
      <w:rPr>
        <w:rFonts w:ascii="Times New Roman" w:hAnsi="Times New Roman" w:hint="default"/>
      </w:rPr>
    </w:lvl>
    <w:lvl w:ilvl="6" w:tplc="94C6E780" w:tentative="1">
      <w:start w:val="1"/>
      <w:numFmt w:val="bullet"/>
      <w:lvlText w:val="•"/>
      <w:lvlJc w:val="left"/>
      <w:pPr>
        <w:tabs>
          <w:tab w:val="num" w:pos="5040"/>
        </w:tabs>
        <w:ind w:left="5040" w:hanging="360"/>
      </w:pPr>
      <w:rPr>
        <w:rFonts w:ascii="Times New Roman" w:hAnsi="Times New Roman" w:hint="default"/>
      </w:rPr>
    </w:lvl>
    <w:lvl w:ilvl="7" w:tplc="9B8A71AA" w:tentative="1">
      <w:start w:val="1"/>
      <w:numFmt w:val="bullet"/>
      <w:lvlText w:val="•"/>
      <w:lvlJc w:val="left"/>
      <w:pPr>
        <w:tabs>
          <w:tab w:val="num" w:pos="5760"/>
        </w:tabs>
        <w:ind w:left="5760" w:hanging="360"/>
      </w:pPr>
      <w:rPr>
        <w:rFonts w:ascii="Times New Roman" w:hAnsi="Times New Roman" w:hint="default"/>
      </w:rPr>
    </w:lvl>
    <w:lvl w:ilvl="8" w:tplc="0298C0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A22774"/>
    <w:multiLevelType w:val="hybridMultilevel"/>
    <w:tmpl w:val="B90E02F0"/>
    <w:lvl w:ilvl="0" w:tplc="75D87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74FA8"/>
    <w:multiLevelType w:val="hybridMultilevel"/>
    <w:tmpl w:val="3984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C3893"/>
    <w:multiLevelType w:val="hybridMultilevel"/>
    <w:tmpl w:val="34E48F28"/>
    <w:lvl w:ilvl="0" w:tplc="461E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515EFB"/>
    <w:multiLevelType w:val="hybridMultilevel"/>
    <w:tmpl w:val="1BD28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9623704"/>
    <w:multiLevelType w:val="hybridMultilevel"/>
    <w:tmpl w:val="81E6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16D36"/>
    <w:multiLevelType w:val="hybridMultilevel"/>
    <w:tmpl w:val="E722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93DE2"/>
    <w:multiLevelType w:val="hybridMultilevel"/>
    <w:tmpl w:val="981A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572B85"/>
    <w:multiLevelType w:val="hybridMultilevel"/>
    <w:tmpl w:val="8DEE4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07A10"/>
    <w:multiLevelType w:val="hybridMultilevel"/>
    <w:tmpl w:val="2150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1199D"/>
    <w:multiLevelType w:val="hybridMultilevel"/>
    <w:tmpl w:val="993C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C5991"/>
    <w:multiLevelType w:val="hybridMultilevel"/>
    <w:tmpl w:val="C8F4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96D34"/>
    <w:multiLevelType w:val="hybridMultilevel"/>
    <w:tmpl w:val="CBA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871AE"/>
    <w:multiLevelType w:val="hybridMultilevel"/>
    <w:tmpl w:val="C9CC143A"/>
    <w:lvl w:ilvl="0" w:tplc="653AE59A">
      <w:start w:val="1"/>
      <w:numFmt w:val="bullet"/>
      <w:lvlText w:val="•"/>
      <w:lvlJc w:val="left"/>
      <w:pPr>
        <w:tabs>
          <w:tab w:val="num" w:pos="720"/>
        </w:tabs>
        <w:ind w:left="720" w:hanging="360"/>
      </w:pPr>
      <w:rPr>
        <w:rFonts w:ascii="Times New Roman" w:hAnsi="Times New Roman" w:hint="default"/>
      </w:rPr>
    </w:lvl>
    <w:lvl w:ilvl="1" w:tplc="F7B0AE94">
      <w:start w:val="1"/>
      <w:numFmt w:val="bullet"/>
      <w:lvlText w:val="•"/>
      <w:lvlJc w:val="left"/>
      <w:pPr>
        <w:tabs>
          <w:tab w:val="num" w:pos="1440"/>
        </w:tabs>
        <w:ind w:left="1440" w:hanging="360"/>
      </w:pPr>
      <w:rPr>
        <w:rFonts w:ascii="Times New Roman" w:hAnsi="Times New Roman" w:hint="default"/>
      </w:rPr>
    </w:lvl>
    <w:lvl w:ilvl="2" w:tplc="01C41398" w:tentative="1">
      <w:start w:val="1"/>
      <w:numFmt w:val="bullet"/>
      <w:lvlText w:val="•"/>
      <w:lvlJc w:val="left"/>
      <w:pPr>
        <w:tabs>
          <w:tab w:val="num" w:pos="2160"/>
        </w:tabs>
        <w:ind w:left="2160" w:hanging="360"/>
      </w:pPr>
      <w:rPr>
        <w:rFonts w:ascii="Times New Roman" w:hAnsi="Times New Roman" w:hint="default"/>
      </w:rPr>
    </w:lvl>
    <w:lvl w:ilvl="3" w:tplc="25B4B794" w:tentative="1">
      <w:start w:val="1"/>
      <w:numFmt w:val="bullet"/>
      <w:lvlText w:val="•"/>
      <w:lvlJc w:val="left"/>
      <w:pPr>
        <w:tabs>
          <w:tab w:val="num" w:pos="2880"/>
        </w:tabs>
        <w:ind w:left="2880" w:hanging="360"/>
      </w:pPr>
      <w:rPr>
        <w:rFonts w:ascii="Times New Roman" w:hAnsi="Times New Roman" w:hint="default"/>
      </w:rPr>
    </w:lvl>
    <w:lvl w:ilvl="4" w:tplc="2E2A46BA" w:tentative="1">
      <w:start w:val="1"/>
      <w:numFmt w:val="bullet"/>
      <w:lvlText w:val="•"/>
      <w:lvlJc w:val="left"/>
      <w:pPr>
        <w:tabs>
          <w:tab w:val="num" w:pos="3600"/>
        </w:tabs>
        <w:ind w:left="3600" w:hanging="360"/>
      </w:pPr>
      <w:rPr>
        <w:rFonts w:ascii="Times New Roman" w:hAnsi="Times New Roman" w:hint="default"/>
      </w:rPr>
    </w:lvl>
    <w:lvl w:ilvl="5" w:tplc="CEA40100" w:tentative="1">
      <w:start w:val="1"/>
      <w:numFmt w:val="bullet"/>
      <w:lvlText w:val="•"/>
      <w:lvlJc w:val="left"/>
      <w:pPr>
        <w:tabs>
          <w:tab w:val="num" w:pos="4320"/>
        </w:tabs>
        <w:ind w:left="4320" w:hanging="360"/>
      </w:pPr>
      <w:rPr>
        <w:rFonts w:ascii="Times New Roman" w:hAnsi="Times New Roman" w:hint="default"/>
      </w:rPr>
    </w:lvl>
    <w:lvl w:ilvl="6" w:tplc="A800B48C" w:tentative="1">
      <w:start w:val="1"/>
      <w:numFmt w:val="bullet"/>
      <w:lvlText w:val="•"/>
      <w:lvlJc w:val="left"/>
      <w:pPr>
        <w:tabs>
          <w:tab w:val="num" w:pos="5040"/>
        </w:tabs>
        <w:ind w:left="5040" w:hanging="360"/>
      </w:pPr>
      <w:rPr>
        <w:rFonts w:ascii="Times New Roman" w:hAnsi="Times New Roman" w:hint="default"/>
      </w:rPr>
    </w:lvl>
    <w:lvl w:ilvl="7" w:tplc="EE027C5A" w:tentative="1">
      <w:start w:val="1"/>
      <w:numFmt w:val="bullet"/>
      <w:lvlText w:val="•"/>
      <w:lvlJc w:val="left"/>
      <w:pPr>
        <w:tabs>
          <w:tab w:val="num" w:pos="5760"/>
        </w:tabs>
        <w:ind w:left="5760" w:hanging="360"/>
      </w:pPr>
      <w:rPr>
        <w:rFonts w:ascii="Times New Roman" w:hAnsi="Times New Roman" w:hint="default"/>
      </w:rPr>
    </w:lvl>
    <w:lvl w:ilvl="8" w:tplc="EF786F1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EC7A75"/>
    <w:multiLevelType w:val="hybridMultilevel"/>
    <w:tmpl w:val="4046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63F48"/>
    <w:multiLevelType w:val="hybridMultilevel"/>
    <w:tmpl w:val="BA2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13845"/>
    <w:multiLevelType w:val="hybridMultilevel"/>
    <w:tmpl w:val="D418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34FB5"/>
    <w:multiLevelType w:val="hybridMultilevel"/>
    <w:tmpl w:val="537A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E6A76"/>
    <w:multiLevelType w:val="hybridMultilevel"/>
    <w:tmpl w:val="0D247AEC"/>
    <w:lvl w:ilvl="0" w:tplc="22F222D4">
      <w:start w:val="1"/>
      <w:numFmt w:val="bullet"/>
      <w:lvlText w:val="•"/>
      <w:lvlJc w:val="left"/>
      <w:pPr>
        <w:tabs>
          <w:tab w:val="num" w:pos="720"/>
        </w:tabs>
        <w:ind w:left="720" w:hanging="360"/>
      </w:pPr>
      <w:rPr>
        <w:rFonts w:ascii="Arial" w:hAnsi="Arial" w:hint="default"/>
      </w:rPr>
    </w:lvl>
    <w:lvl w:ilvl="1" w:tplc="8D14CF44" w:tentative="1">
      <w:start w:val="1"/>
      <w:numFmt w:val="bullet"/>
      <w:lvlText w:val="•"/>
      <w:lvlJc w:val="left"/>
      <w:pPr>
        <w:tabs>
          <w:tab w:val="num" w:pos="1440"/>
        </w:tabs>
        <w:ind w:left="1440" w:hanging="360"/>
      </w:pPr>
      <w:rPr>
        <w:rFonts w:ascii="Arial" w:hAnsi="Arial" w:hint="default"/>
      </w:rPr>
    </w:lvl>
    <w:lvl w:ilvl="2" w:tplc="0D26ED7A" w:tentative="1">
      <w:start w:val="1"/>
      <w:numFmt w:val="bullet"/>
      <w:lvlText w:val="•"/>
      <w:lvlJc w:val="left"/>
      <w:pPr>
        <w:tabs>
          <w:tab w:val="num" w:pos="2160"/>
        </w:tabs>
        <w:ind w:left="2160" w:hanging="360"/>
      </w:pPr>
      <w:rPr>
        <w:rFonts w:ascii="Arial" w:hAnsi="Arial" w:hint="default"/>
      </w:rPr>
    </w:lvl>
    <w:lvl w:ilvl="3" w:tplc="0464EDE0" w:tentative="1">
      <w:start w:val="1"/>
      <w:numFmt w:val="bullet"/>
      <w:lvlText w:val="•"/>
      <w:lvlJc w:val="left"/>
      <w:pPr>
        <w:tabs>
          <w:tab w:val="num" w:pos="2880"/>
        </w:tabs>
        <w:ind w:left="2880" w:hanging="360"/>
      </w:pPr>
      <w:rPr>
        <w:rFonts w:ascii="Arial" w:hAnsi="Arial" w:hint="default"/>
      </w:rPr>
    </w:lvl>
    <w:lvl w:ilvl="4" w:tplc="62BC1F56" w:tentative="1">
      <w:start w:val="1"/>
      <w:numFmt w:val="bullet"/>
      <w:lvlText w:val="•"/>
      <w:lvlJc w:val="left"/>
      <w:pPr>
        <w:tabs>
          <w:tab w:val="num" w:pos="3600"/>
        </w:tabs>
        <w:ind w:left="3600" w:hanging="360"/>
      </w:pPr>
      <w:rPr>
        <w:rFonts w:ascii="Arial" w:hAnsi="Arial" w:hint="default"/>
      </w:rPr>
    </w:lvl>
    <w:lvl w:ilvl="5" w:tplc="AAC02CEE" w:tentative="1">
      <w:start w:val="1"/>
      <w:numFmt w:val="bullet"/>
      <w:lvlText w:val="•"/>
      <w:lvlJc w:val="left"/>
      <w:pPr>
        <w:tabs>
          <w:tab w:val="num" w:pos="4320"/>
        </w:tabs>
        <w:ind w:left="4320" w:hanging="360"/>
      </w:pPr>
      <w:rPr>
        <w:rFonts w:ascii="Arial" w:hAnsi="Arial" w:hint="default"/>
      </w:rPr>
    </w:lvl>
    <w:lvl w:ilvl="6" w:tplc="219CD59A" w:tentative="1">
      <w:start w:val="1"/>
      <w:numFmt w:val="bullet"/>
      <w:lvlText w:val="•"/>
      <w:lvlJc w:val="left"/>
      <w:pPr>
        <w:tabs>
          <w:tab w:val="num" w:pos="5040"/>
        </w:tabs>
        <w:ind w:left="5040" w:hanging="360"/>
      </w:pPr>
      <w:rPr>
        <w:rFonts w:ascii="Arial" w:hAnsi="Arial" w:hint="default"/>
      </w:rPr>
    </w:lvl>
    <w:lvl w:ilvl="7" w:tplc="173E10BE" w:tentative="1">
      <w:start w:val="1"/>
      <w:numFmt w:val="bullet"/>
      <w:lvlText w:val="•"/>
      <w:lvlJc w:val="left"/>
      <w:pPr>
        <w:tabs>
          <w:tab w:val="num" w:pos="5760"/>
        </w:tabs>
        <w:ind w:left="5760" w:hanging="360"/>
      </w:pPr>
      <w:rPr>
        <w:rFonts w:ascii="Arial" w:hAnsi="Arial" w:hint="default"/>
      </w:rPr>
    </w:lvl>
    <w:lvl w:ilvl="8" w:tplc="A43C26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830D00"/>
    <w:multiLevelType w:val="hybridMultilevel"/>
    <w:tmpl w:val="D60E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E492C"/>
    <w:multiLevelType w:val="hybridMultilevel"/>
    <w:tmpl w:val="9D1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3300D1"/>
    <w:multiLevelType w:val="hybridMultilevel"/>
    <w:tmpl w:val="23BA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A535DA"/>
    <w:multiLevelType w:val="hybridMultilevel"/>
    <w:tmpl w:val="4F7CB696"/>
    <w:lvl w:ilvl="0" w:tplc="04090001">
      <w:start w:val="1"/>
      <w:numFmt w:val="bullet"/>
      <w:lvlText w:val=""/>
      <w:lvlJc w:val="left"/>
      <w:pPr>
        <w:ind w:left="720" w:hanging="360"/>
      </w:pPr>
      <w:rPr>
        <w:rFonts w:ascii="Symbol" w:hAnsi="Symbol" w:hint="default"/>
      </w:rPr>
    </w:lvl>
    <w:lvl w:ilvl="1" w:tplc="2544F026">
      <w:numFmt w:val="bullet"/>
      <w:lvlText w:val="-"/>
      <w:lvlJc w:val="left"/>
      <w:pPr>
        <w:ind w:left="1440" w:hanging="360"/>
      </w:pPr>
      <w:rPr>
        <w:rFonts w:ascii="Arial" w:eastAsiaTheme="minorHAnsi" w:hAnsi="Arial" w:cs="Arial" w:hint="default"/>
      </w:rPr>
    </w:lvl>
    <w:lvl w:ilvl="2" w:tplc="45287416">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0531A"/>
    <w:multiLevelType w:val="hybridMultilevel"/>
    <w:tmpl w:val="9FF2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60FF2"/>
    <w:multiLevelType w:val="hybridMultilevel"/>
    <w:tmpl w:val="E810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D09D3"/>
    <w:multiLevelType w:val="hybridMultilevel"/>
    <w:tmpl w:val="416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F0F13"/>
    <w:multiLevelType w:val="hybridMultilevel"/>
    <w:tmpl w:val="DE3C59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3568FE"/>
    <w:multiLevelType w:val="hybridMultilevel"/>
    <w:tmpl w:val="5BA2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C6073"/>
    <w:multiLevelType w:val="hybridMultilevel"/>
    <w:tmpl w:val="DDD0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140CD"/>
    <w:multiLevelType w:val="hybridMultilevel"/>
    <w:tmpl w:val="8EEA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13"/>
  </w:num>
  <w:num w:numId="4">
    <w:abstractNumId w:val="8"/>
  </w:num>
  <w:num w:numId="5">
    <w:abstractNumId w:val="35"/>
  </w:num>
  <w:num w:numId="6">
    <w:abstractNumId w:val="2"/>
  </w:num>
  <w:num w:numId="7">
    <w:abstractNumId w:val="28"/>
  </w:num>
  <w:num w:numId="8">
    <w:abstractNumId w:val="40"/>
  </w:num>
  <w:num w:numId="9">
    <w:abstractNumId w:val="15"/>
  </w:num>
  <w:num w:numId="10">
    <w:abstractNumId w:val="6"/>
  </w:num>
  <w:num w:numId="11">
    <w:abstractNumId w:val="23"/>
  </w:num>
  <w:num w:numId="12">
    <w:abstractNumId w:val="42"/>
  </w:num>
  <w:num w:numId="13">
    <w:abstractNumId w:val="26"/>
  </w:num>
  <w:num w:numId="14">
    <w:abstractNumId w:val="32"/>
  </w:num>
  <w:num w:numId="15">
    <w:abstractNumId w:val="0"/>
  </w:num>
  <w:num w:numId="16">
    <w:abstractNumId w:val="37"/>
  </w:num>
  <w:num w:numId="17">
    <w:abstractNumId w:val="31"/>
  </w:num>
  <w:num w:numId="18">
    <w:abstractNumId w:val="43"/>
  </w:num>
  <w:num w:numId="19">
    <w:abstractNumId w:val="25"/>
  </w:num>
  <w:num w:numId="20">
    <w:abstractNumId w:val="7"/>
  </w:num>
  <w:num w:numId="21">
    <w:abstractNumId w:val="9"/>
  </w:num>
  <w:num w:numId="22">
    <w:abstractNumId w:val="33"/>
  </w:num>
  <w:num w:numId="23">
    <w:abstractNumId w:val="4"/>
  </w:num>
  <w:num w:numId="24">
    <w:abstractNumId w:val="5"/>
  </w:num>
  <w:num w:numId="25">
    <w:abstractNumId w:val="12"/>
  </w:num>
  <w:num w:numId="26">
    <w:abstractNumId w:val="34"/>
  </w:num>
  <w:num w:numId="27">
    <w:abstractNumId w:val="17"/>
  </w:num>
  <w:num w:numId="28">
    <w:abstractNumId w:val="30"/>
  </w:num>
  <w:num w:numId="29">
    <w:abstractNumId w:val="10"/>
  </w:num>
  <w:num w:numId="30">
    <w:abstractNumId w:val="11"/>
  </w:num>
  <w:num w:numId="31">
    <w:abstractNumId w:val="1"/>
  </w:num>
  <w:num w:numId="32">
    <w:abstractNumId w:val="44"/>
  </w:num>
  <w:num w:numId="33">
    <w:abstractNumId w:val="36"/>
  </w:num>
  <w:num w:numId="34">
    <w:abstractNumId w:val="41"/>
  </w:num>
  <w:num w:numId="35">
    <w:abstractNumId w:val="27"/>
  </w:num>
  <w:num w:numId="36">
    <w:abstractNumId w:val="20"/>
  </w:num>
  <w:num w:numId="37">
    <w:abstractNumId w:val="3"/>
  </w:num>
  <w:num w:numId="38">
    <w:abstractNumId w:val="24"/>
  </w:num>
  <w:num w:numId="39">
    <w:abstractNumId w:val="29"/>
  </w:num>
  <w:num w:numId="40">
    <w:abstractNumId w:val="38"/>
  </w:num>
  <w:num w:numId="41">
    <w:abstractNumId w:val="21"/>
  </w:num>
  <w:num w:numId="42">
    <w:abstractNumId w:val="16"/>
  </w:num>
  <w:num w:numId="43">
    <w:abstractNumId w:val="22"/>
  </w:num>
  <w:num w:numId="44">
    <w:abstractNumId w:val="46"/>
  </w:num>
  <w:num w:numId="45">
    <w:abstractNumId w:val="45"/>
  </w:num>
  <w:num w:numId="46">
    <w:abstractNumId w:val="1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9A"/>
    <w:rsid w:val="00001B90"/>
    <w:rsid w:val="00005EA1"/>
    <w:rsid w:val="00005EF0"/>
    <w:rsid w:val="000062E8"/>
    <w:rsid w:val="00006956"/>
    <w:rsid w:val="00010E8C"/>
    <w:rsid w:val="00011939"/>
    <w:rsid w:val="0001253B"/>
    <w:rsid w:val="00013A5E"/>
    <w:rsid w:val="00014126"/>
    <w:rsid w:val="0001416E"/>
    <w:rsid w:val="00014507"/>
    <w:rsid w:val="00014D07"/>
    <w:rsid w:val="0001544F"/>
    <w:rsid w:val="00016699"/>
    <w:rsid w:val="00017F29"/>
    <w:rsid w:val="00020FA2"/>
    <w:rsid w:val="00024576"/>
    <w:rsid w:val="00026565"/>
    <w:rsid w:val="00030A8F"/>
    <w:rsid w:val="00033F20"/>
    <w:rsid w:val="0003523E"/>
    <w:rsid w:val="00036540"/>
    <w:rsid w:val="00037B9A"/>
    <w:rsid w:val="00043644"/>
    <w:rsid w:val="000453AC"/>
    <w:rsid w:val="00050152"/>
    <w:rsid w:val="00050435"/>
    <w:rsid w:val="0005043D"/>
    <w:rsid w:val="0005077C"/>
    <w:rsid w:val="00050A7A"/>
    <w:rsid w:val="000513E9"/>
    <w:rsid w:val="00053488"/>
    <w:rsid w:val="00053535"/>
    <w:rsid w:val="000537CB"/>
    <w:rsid w:val="000540F5"/>
    <w:rsid w:val="00055FD4"/>
    <w:rsid w:val="00057211"/>
    <w:rsid w:val="0006069F"/>
    <w:rsid w:val="00060E13"/>
    <w:rsid w:val="000622DF"/>
    <w:rsid w:val="00064323"/>
    <w:rsid w:val="00064DE5"/>
    <w:rsid w:val="00065104"/>
    <w:rsid w:val="00066D4A"/>
    <w:rsid w:val="0007154F"/>
    <w:rsid w:val="000717C4"/>
    <w:rsid w:val="00071947"/>
    <w:rsid w:val="00072D68"/>
    <w:rsid w:val="00073021"/>
    <w:rsid w:val="0007341C"/>
    <w:rsid w:val="0007492A"/>
    <w:rsid w:val="00076772"/>
    <w:rsid w:val="00081F0A"/>
    <w:rsid w:val="00081F8D"/>
    <w:rsid w:val="000830FA"/>
    <w:rsid w:val="000833E8"/>
    <w:rsid w:val="000845C6"/>
    <w:rsid w:val="000847B6"/>
    <w:rsid w:val="00084E78"/>
    <w:rsid w:val="00084E96"/>
    <w:rsid w:val="00090660"/>
    <w:rsid w:val="0009220E"/>
    <w:rsid w:val="00094AA0"/>
    <w:rsid w:val="00096711"/>
    <w:rsid w:val="000971DB"/>
    <w:rsid w:val="00097228"/>
    <w:rsid w:val="0009729A"/>
    <w:rsid w:val="000A1F05"/>
    <w:rsid w:val="000A2D49"/>
    <w:rsid w:val="000A30BB"/>
    <w:rsid w:val="000A41F0"/>
    <w:rsid w:val="000A6069"/>
    <w:rsid w:val="000B01FB"/>
    <w:rsid w:val="000B1121"/>
    <w:rsid w:val="000B2C3B"/>
    <w:rsid w:val="000B2F77"/>
    <w:rsid w:val="000B38D5"/>
    <w:rsid w:val="000B54B9"/>
    <w:rsid w:val="000B6BCF"/>
    <w:rsid w:val="000B7BAC"/>
    <w:rsid w:val="000C3BBF"/>
    <w:rsid w:val="000C3F3C"/>
    <w:rsid w:val="000C48B1"/>
    <w:rsid w:val="000C49A2"/>
    <w:rsid w:val="000C7BF6"/>
    <w:rsid w:val="000D030E"/>
    <w:rsid w:val="000D241B"/>
    <w:rsid w:val="000D3033"/>
    <w:rsid w:val="000D4533"/>
    <w:rsid w:val="000D65B3"/>
    <w:rsid w:val="000D6F19"/>
    <w:rsid w:val="000E05E4"/>
    <w:rsid w:val="000E12DC"/>
    <w:rsid w:val="000E471B"/>
    <w:rsid w:val="000E645A"/>
    <w:rsid w:val="000F02A9"/>
    <w:rsid w:val="000F09C1"/>
    <w:rsid w:val="000F0AC5"/>
    <w:rsid w:val="000F1300"/>
    <w:rsid w:val="000F2F76"/>
    <w:rsid w:val="000F4471"/>
    <w:rsid w:val="000F4965"/>
    <w:rsid w:val="000F4F54"/>
    <w:rsid w:val="000F6397"/>
    <w:rsid w:val="000F65E4"/>
    <w:rsid w:val="000F6E79"/>
    <w:rsid w:val="000F7414"/>
    <w:rsid w:val="000F7574"/>
    <w:rsid w:val="000F7957"/>
    <w:rsid w:val="00103E3B"/>
    <w:rsid w:val="00112D94"/>
    <w:rsid w:val="00112EA7"/>
    <w:rsid w:val="00113CC5"/>
    <w:rsid w:val="001142AE"/>
    <w:rsid w:val="001153C5"/>
    <w:rsid w:val="00116158"/>
    <w:rsid w:val="001162CD"/>
    <w:rsid w:val="00116821"/>
    <w:rsid w:val="0012028F"/>
    <w:rsid w:val="001202F9"/>
    <w:rsid w:val="00120C11"/>
    <w:rsid w:val="001210BF"/>
    <w:rsid w:val="00123ED6"/>
    <w:rsid w:val="00125C1F"/>
    <w:rsid w:val="00126323"/>
    <w:rsid w:val="0013020C"/>
    <w:rsid w:val="00131EAA"/>
    <w:rsid w:val="00132947"/>
    <w:rsid w:val="00136179"/>
    <w:rsid w:val="001418BC"/>
    <w:rsid w:val="0014210B"/>
    <w:rsid w:val="00142BBD"/>
    <w:rsid w:val="00144FE0"/>
    <w:rsid w:val="0014519B"/>
    <w:rsid w:val="00145E50"/>
    <w:rsid w:val="00146CD9"/>
    <w:rsid w:val="00146D64"/>
    <w:rsid w:val="00147373"/>
    <w:rsid w:val="0014738D"/>
    <w:rsid w:val="00152A35"/>
    <w:rsid w:val="001535DA"/>
    <w:rsid w:val="00157352"/>
    <w:rsid w:val="0016066B"/>
    <w:rsid w:val="001609D4"/>
    <w:rsid w:val="00160A9D"/>
    <w:rsid w:val="001621F1"/>
    <w:rsid w:val="00162CA0"/>
    <w:rsid w:val="001635C5"/>
    <w:rsid w:val="0017064B"/>
    <w:rsid w:val="00172BCA"/>
    <w:rsid w:val="00172C71"/>
    <w:rsid w:val="001753B6"/>
    <w:rsid w:val="00180B98"/>
    <w:rsid w:val="00180F59"/>
    <w:rsid w:val="00181090"/>
    <w:rsid w:val="00187E76"/>
    <w:rsid w:val="00187F35"/>
    <w:rsid w:val="001900E8"/>
    <w:rsid w:val="001937D5"/>
    <w:rsid w:val="00193E22"/>
    <w:rsid w:val="001A3799"/>
    <w:rsid w:val="001A40E0"/>
    <w:rsid w:val="001A5E62"/>
    <w:rsid w:val="001B1AB6"/>
    <w:rsid w:val="001B2850"/>
    <w:rsid w:val="001C00FB"/>
    <w:rsid w:val="001C3812"/>
    <w:rsid w:val="001C4237"/>
    <w:rsid w:val="001C52B3"/>
    <w:rsid w:val="001C78A6"/>
    <w:rsid w:val="001C7A2B"/>
    <w:rsid w:val="001D2BA0"/>
    <w:rsid w:val="001D464B"/>
    <w:rsid w:val="001D5BC1"/>
    <w:rsid w:val="001D7C68"/>
    <w:rsid w:val="001E28D9"/>
    <w:rsid w:val="001E4FC7"/>
    <w:rsid w:val="001E5126"/>
    <w:rsid w:val="001E658E"/>
    <w:rsid w:val="001E7291"/>
    <w:rsid w:val="001F2084"/>
    <w:rsid w:val="001F5F82"/>
    <w:rsid w:val="00202F7D"/>
    <w:rsid w:val="00204405"/>
    <w:rsid w:val="00205ECE"/>
    <w:rsid w:val="00206BB2"/>
    <w:rsid w:val="00207212"/>
    <w:rsid w:val="0020783A"/>
    <w:rsid w:val="00211752"/>
    <w:rsid w:val="002131E4"/>
    <w:rsid w:val="00213CB6"/>
    <w:rsid w:val="00214BF1"/>
    <w:rsid w:val="00214F88"/>
    <w:rsid w:val="00221B4F"/>
    <w:rsid w:val="002220E2"/>
    <w:rsid w:val="00222539"/>
    <w:rsid w:val="0022342B"/>
    <w:rsid w:val="00224106"/>
    <w:rsid w:val="00224B22"/>
    <w:rsid w:val="0022659E"/>
    <w:rsid w:val="002300F9"/>
    <w:rsid w:val="0023073E"/>
    <w:rsid w:val="00233A02"/>
    <w:rsid w:val="0023521C"/>
    <w:rsid w:val="00235C97"/>
    <w:rsid w:val="00235F57"/>
    <w:rsid w:val="002360F1"/>
    <w:rsid w:val="00236D96"/>
    <w:rsid w:val="00240FE3"/>
    <w:rsid w:val="00241B25"/>
    <w:rsid w:val="00245323"/>
    <w:rsid w:val="00245B1E"/>
    <w:rsid w:val="00246F78"/>
    <w:rsid w:val="00250269"/>
    <w:rsid w:val="0025086E"/>
    <w:rsid w:val="002524FD"/>
    <w:rsid w:val="002532DA"/>
    <w:rsid w:val="00253E43"/>
    <w:rsid w:val="0025446A"/>
    <w:rsid w:val="00257E4C"/>
    <w:rsid w:val="00260013"/>
    <w:rsid w:val="00260F38"/>
    <w:rsid w:val="002615D4"/>
    <w:rsid w:val="00263178"/>
    <w:rsid w:val="0026367A"/>
    <w:rsid w:val="002636A0"/>
    <w:rsid w:val="00265354"/>
    <w:rsid w:val="002676B6"/>
    <w:rsid w:val="00274A5A"/>
    <w:rsid w:val="00274C97"/>
    <w:rsid w:val="00277176"/>
    <w:rsid w:val="002774F5"/>
    <w:rsid w:val="0028057E"/>
    <w:rsid w:val="00284CEF"/>
    <w:rsid w:val="00285CAB"/>
    <w:rsid w:val="00290353"/>
    <w:rsid w:val="002904F8"/>
    <w:rsid w:val="002906C6"/>
    <w:rsid w:val="002929E5"/>
    <w:rsid w:val="002932A7"/>
    <w:rsid w:val="00295B41"/>
    <w:rsid w:val="002A03E6"/>
    <w:rsid w:val="002A1D8F"/>
    <w:rsid w:val="002A2DA8"/>
    <w:rsid w:val="002A4A9F"/>
    <w:rsid w:val="002A5A26"/>
    <w:rsid w:val="002A6F44"/>
    <w:rsid w:val="002A73DD"/>
    <w:rsid w:val="002A7414"/>
    <w:rsid w:val="002A7505"/>
    <w:rsid w:val="002B02FE"/>
    <w:rsid w:val="002B1C8D"/>
    <w:rsid w:val="002B5554"/>
    <w:rsid w:val="002B67BD"/>
    <w:rsid w:val="002B7950"/>
    <w:rsid w:val="002B797E"/>
    <w:rsid w:val="002C1F98"/>
    <w:rsid w:val="002C3DBC"/>
    <w:rsid w:val="002C40A3"/>
    <w:rsid w:val="002C535E"/>
    <w:rsid w:val="002C56D0"/>
    <w:rsid w:val="002C6E98"/>
    <w:rsid w:val="002C7C6F"/>
    <w:rsid w:val="002D06C5"/>
    <w:rsid w:val="002D0817"/>
    <w:rsid w:val="002D19A8"/>
    <w:rsid w:val="002D2691"/>
    <w:rsid w:val="002D31FB"/>
    <w:rsid w:val="002D3CAE"/>
    <w:rsid w:val="002D42C5"/>
    <w:rsid w:val="002D6638"/>
    <w:rsid w:val="002E1E14"/>
    <w:rsid w:val="002E410F"/>
    <w:rsid w:val="002E73D0"/>
    <w:rsid w:val="002E7457"/>
    <w:rsid w:val="002F316F"/>
    <w:rsid w:val="002F4E42"/>
    <w:rsid w:val="002F7776"/>
    <w:rsid w:val="0030161F"/>
    <w:rsid w:val="00303AB1"/>
    <w:rsid w:val="00306886"/>
    <w:rsid w:val="003112C1"/>
    <w:rsid w:val="0031510D"/>
    <w:rsid w:val="003161D1"/>
    <w:rsid w:val="0032414F"/>
    <w:rsid w:val="00324C50"/>
    <w:rsid w:val="00330A83"/>
    <w:rsid w:val="00331002"/>
    <w:rsid w:val="003311DA"/>
    <w:rsid w:val="003314AE"/>
    <w:rsid w:val="003314FB"/>
    <w:rsid w:val="00331EB7"/>
    <w:rsid w:val="00333279"/>
    <w:rsid w:val="003370C7"/>
    <w:rsid w:val="00342088"/>
    <w:rsid w:val="00342429"/>
    <w:rsid w:val="00344457"/>
    <w:rsid w:val="00346EC5"/>
    <w:rsid w:val="00351ADF"/>
    <w:rsid w:val="00352770"/>
    <w:rsid w:val="00352C52"/>
    <w:rsid w:val="00353F92"/>
    <w:rsid w:val="00354612"/>
    <w:rsid w:val="00355605"/>
    <w:rsid w:val="00355DA1"/>
    <w:rsid w:val="00355F18"/>
    <w:rsid w:val="00357ACA"/>
    <w:rsid w:val="003606FE"/>
    <w:rsid w:val="00360EAD"/>
    <w:rsid w:val="00363EAB"/>
    <w:rsid w:val="00365E7E"/>
    <w:rsid w:val="00365F3C"/>
    <w:rsid w:val="00372A0C"/>
    <w:rsid w:val="0038046C"/>
    <w:rsid w:val="00381A47"/>
    <w:rsid w:val="003836C4"/>
    <w:rsid w:val="003870F7"/>
    <w:rsid w:val="00390033"/>
    <w:rsid w:val="003913C8"/>
    <w:rsid w:val="00391553"/>
    <w:rsid w:val="00395300"/>
    <w:rsid w:val="00397C9A"/>
    <w:rsid w:val="003A08AD"/>
    <w:rsid w:val="003A2129"/>
    <w:rsid w:val="003A5DB5"/>
    <w:rsid w:val="003A7CBB"/>
    <w:rsid w:val="003B44E2"/>
    <w:rsid w:val="003B6E2D"/>
    <w:rsid w:val="003C2117"/>
    <w:rsid w:val="003C23C9"/>
    <w:rsid w:val="003C341C"/>
    <w:rsid w:val="003C3E51"/>
    <w:rsid w:val="003C5198"/>
    <w:rsid w:val="003C671C"/>
    <w:rsid w:val="003C6856"/>
    <w:rsid w:val="003D0058"/>
    <w:rsid w:val="003D04F3"/>
    <w:rsid w:val="003D1342"/>
    <w:rsid w:val="003D1E50"/>
    <w:rsid w:val="003D2C4F"/>
    <w:rsid w:val="003D5A98"/>
    <w:rsid w:val="003D70E6"/>
    <w:rsid w:val="003E0B5F"/>
    <w:rsid w:val="003E2B45"/>
    <w:rsid w:val="003E4E6C"/>
    <w:rsid w:val="003E58A5"/>
    <w:rsid w:val="003E603A"/>
    <w:rsid w:val="003E6A03"/>
    <w:rsid w:val="003F2D15"/>
    <w:rsid w:val="003F6F2A"/>
    <w:rsid w:val="003F7274"/>
    <w:rsid w:val="00401194"/>
    <w:rsid w:val="004050C3"/>
    <w:rsid w:val="00411046"/>
    <w:rsid w:val="00411512"/>
    <w:rsid w:val="00412FCC"/>
    <w:rsid w:val="0041312C"/>
    <w:rsid w:val="0041557F"/>
    <w:rsid w:val="004168A9"/>
    <w:rsid w:val="00421114"/>
    <w:rsid w:val="00421172"/>
    <w:rsid w:val="00421C88"/>
    <w:rsid w:val="00422006"/>
    <w:rsid w:val="004240C7"/>
    <w:rsid w:val="0042419F"/>
    <w:rsid w:val="00426AB3"/>
    <w:rsid w:val="00426B5A"/>
    <w:rsid w:val="0042737E"/>
    <w:rsid w:val="004277FB"/>
    <w:rsid w:val="0043339D"/>
    <w:rsid w:val="00433976"/>
    <w:rsid w:val="0043583B"/>
    <w:rsid w:val="004378EB"/>
    <w:rsid w:val="004424A0"/>
    <w:rsid w:val="0044298D"/>
    <w:rsid w:val="00444C90"/>
    <w:rsid w:val="00446A07"/>
    <w:rsid w:val="004470F8"/>
    <w:rsid w:val="00447E1E"/>
    <w:rsid w:val="00452C65"/>
    <w:rsid w:val="004547AD"/>
    <w:rsid w:val="00455D49"/>
    <w:rsid w:val="00456087"/>
    <w:rsid w:val="00457564"/>
    <w:rsid w:val="00461F37"/>
    <w:rsid w:val="004636D9"/>
    <w:rsid w:val="00463BCE"/>
    <w:rsid w:val="00464060"/>
    <w:rsid w:val="00470206"/>
    <w:rsid w:val="004719FC"/>
    <w:rsid w:val="004730DB"/>
    <w:rsid w:val="00474AF3"/>
    <w:rsid w:val="00475727"/>
    <w:rsid w:val="004775B4"/>
    <w:rsid w:val="00485573"/>
    <w:rsid w:val="00486E79"/>
    <w:rsid w:val="0048704E"/>
    <w:rsid w:val="0049090C"/>
    <w:rsid w:val="00492794"/>
    <w:rsid w:val="0049492E"/>
    <w:rsid w:val="004959CC"/>
    <w:rsid w:val="004A0F50"/>
    <w:rsid w:val="004A1F10"/>
    <w:rsid w:val="004A2018"/>
    <w:rsid w:val="004A269E"/>
    <w:rsid w:val="004A43AA"/>
    <w:rsid w:val="004A4745"/>
    <w:rsid w:val="004B4DA3"/>
    <w:rsid w:val="004B6F21"/>
    <w:rsid w:val="004B7004"/>
    <w:rsid w:val="004B7EF7"/>
    <w:rsid w:val="004D1686"/>
    <w:rsid w:val="004D24C1"/>
    <w:rsid w:val="004D4473"/>
    <w:rsid w:val="004D4992"/>
    <w:rsid w:val="004E0B00"/>
    <w:rsid w:val="004E1A4D"/>
    <w:rsid w:val="004E6D5C"/>
    <w:rsid w:val="004E6EDB"/>
    <w:rsid w:val="004E7621"/>
    <w:rsid w:val="004E7B5E"/>
    <w:rsid w:val="004F0DE9"/>
    <w:rsid w:val="004F2EDC"/>
    <w:rsid w:val="004F321E"/>
    <w:rsid w:val="004F32C4"/>
    <w:rsid w:val="004F36F9"/>
    <w:rsid w:val="004F45D6"/>
    <w:rsid w:val="0050121A"/>
    <w:rsid w:val="0050157C"/>
    <w:rsid w:val="005019F6"/>
    <w:rsid w:val="0050757A"/>
    <w:rsid w:val="00507BE4"/>
    <w:rsid w:val="00510947"/>
    <w:rsid w:val="00510E8D"/>
    <w:rsid w:val="00511A6C"/>
    <w:rsid w:val="00513F4D"/>
    <w:rsid w:val="005143C4"/>
    <w:rsid w:val="00515735"/>
    <w:rsid w:val="00515C1F"/>
    <w:rsid w:val="00516A12"/>
    <w:rsid w:val="005201A8"/>
    <w:rsid w:val="00521689"/>
    <w:rsid w:val="0052516F"/>
    <w:rsid w:val="005261AE"/>
    <w:rsid w:val="005274BB"/>
    <w:rsid w:val="005335DC"/>
    <w:rsid w:val="00534174"/>
    <w:rsid w:val="00535E6B"/>
    <w:rsid w:val="00537819"/>
    <w:rsid w:val="005405DF"/>
    <w:rsid w:val="00540BE3"/>
    <w:rsid w:val="00542F10"/>
    <w:rsid w:val="005440A0"/>
    <w:rsid w:val="00544166"/>
    <w:rsid w:val="00544419"/>
    <w:rsid w:val="00546C30"/>
    <w:rsid w:val="0055160E"/>
    <w:rsid w:val="00552365"/>
    <w:rsid w:val="00552B28"/>
    <w:rsid w:val="00562EC9"/>
    <w:rsid w:val="0056562B"/>
    <w:rsid w:val="00567395"/>
    <w:rsid w:val="0057155F"/>
    <w:rsid w:val="00571FE4"/>
    <w:rsid w:val="005723D5"/>
    <w:rsid w:val="00576F83"/>
    <w:rsid w:val="00577F4B"/>
    <w:rsid w:val="0058012F"/>
    <w:rsid w:val="0059029A"/>
    <w:rsid w:val="00592AA7"/>
    <w:rsid w:val="005972E4"/>
    <w:rsid w:val="00597EFB"/>
    <w:rsid w:val="005A0CF1"/>
    <w:rsid w:val="005A18B0"/>
    <w:rsid w:val="005A2C33"/>
    <w:rsid w:val="005A5FDC"/>
    <w:rsid w:val="005A6EC2"/>
    <w:rsid w:val="005B1B7D"/>
    <w:rsid w:val="005B3224"/>
    <w:rsid w:val="005B344B"/>
    <w:rsid w:val="005B3C65"/>
    <w:rsid w:val="005B7FBA"/>
    <w:rsid w:val="005C236C"/>
    <w:rsid w:val="005C3824"/>
    <w:rsid w:val="005C3D7C"/>
    <w:rsid w:val="005C5B69"/>
    <w:rsid w:val="005C6FA7"/>
    <w:rsid w:val="005C7B35"/>
    <w:rsid w:val="005C7EF8"/>
    <w:rsid w:val="005D0FDD"/>
    <w:rsid w:val="005D1605"/>
    <w:rsid w:val="005D2A45"/>
    <w:rsid w:val="005D36FE"/>
    <w:rsid w:val="005D3D45"/>
    <w:rsid w:val="005D6EBB"/>
    <w:rsid w:val="005E12E3"/>
    <w:rsid w:val="005E1689"/>
    <w:rsid w:val="005E1D94"/>
    <w:rsid w:val="005E4A21"/>
    <w:rsid w:val="005F02B2"/>
    <w:rsid w:val="005F1E7E"/>
    <w:rsid w:val="005F536D"/>
    <w:rsid w:val="005F6252"/>
    <w:rsid w:val="005F63C1"/>
    <w:rsid w:val="00600971"/>
    <w:rsid w:val="006036A9"/>
    <w:rsid w:val="00603799"/>
    <w:rsid w:val="006046D8"/>
    <w:rsid w:val="00606D42"/>
    <w:rsid w:val="00607A5E"/>
    <w:rsid w:val="0061139E"/>
    <w:rsid w:val="00611844"/>
    <w:rsid w:val="00612799"/>
    <w:rsid w:val="00612EB3"/>
    <w:rsid w:val="0061316D"/>
    <w:rsid w:val="006136DC"/>
    <w:rsid w:val="00614F97"/>
    <w:rsid w:val="006162BA"/>
    <w:rsid w:val="00616E11"/>
    <w:rsid w:val="006217BF"/>
    <w:rsid w:val="006220B9"/>
    <w:rsid w:val="00624226"/>
    <w:rsid w:val="0062474C"/>
    <w:rsid w:val="00624834"/>
    <w:rsid w:val="0062619C"/>
    <w:rsid w:val="00626603"/>
    <w:rsid w:val="0063082B"/>
    <w:rsid w:val="00630B43"/>
    <w:rsid w:val="00630B52"/>
    <w:rsid w:val="00631BAC"/>
    <w:rsid w:val="00632946"/>
    <w:rsid w:val="0063427E"/>
    <w:rsid w:val="00634642"/>
    <w:rsid w:val="006350CA"/>
    <w:rsid w:val="006355EE"/>
    <w:rsid w:val="00636266"/>
    <w:rsid w:val="00637B7C"/>
    <w:rsid w:val="00637F10"/>
    <w:rsid w:val="006415B7"/>
    <w:rsid w:val="00641927"/>
    <w:rsid w:val="006465CF"/>
    <w:rsid w:val="00646E55"/>
    <w:rsid w:val="00646F1E"/>
    <w:rsid w:val="006569F2"/>
    <w:rsid w:val="006608CA"/>
    <w:rsid w:val="00662A62"/>
    <w:rsid w:val="00663DFD"/>
    <w:rsid w:val="00665069"/>
    <w:rsid w:val="00665694"/>
    <w:rsid w:val="00666DF6"/>
    <w:rsid w:val="00670C7C"/>
    <w:rsid w:val="00671ACD"/>
    <w:rsid w:val="00672B8D"/>
    <w:rsid w:val="00672C0E"/>
    <w:rsid w:val="00673B1E"/>
    <w:rsid w:val="006741C5"/>
    <w:rsid w:val="006754A6"/>
    <w:rsid w:val="00675CA6"/>
    <w:rsid w:val="006769D7"/>
    <w:rsid w:val="00676FB0"/>
    <w:rsid w:val="00682584"/>
    <w:rsid w:val="00682597"/>
    <w:rsid w:val="00682D65"/>
    <w:rsid w:val="00684785"/>
    <w:rsid w:val="00685D34"/>
    <w:rsid w:val="00686C44"/>
    <w:rsid w:val="006872FC"/>
    <w:rsid w:val="0069024F"/>
    <w:rsid w:val="0069231A"/>
    <w:rsid w:val="00695034"/>
    <w:rsid w:val="006A02CF"/>
    <w:rsid w:val="006A2102"/>
    <w:rsid w:val="006A2CF4"/>
    <w:rsid w:val="006A39D2"/>
    <w:rsid w:val="006A3DB8"/>
    <w:rsid w:val="006A722E"/>
    <w:rsid w:val="006B0723"/>
    <w:rsid w:val="006B34AA"/>
    <w:rsid w:val="006B38BC"/>
    <w:rsid w:val="006B4D95"/>
    <w:rsid w:val="006B584E"/>
    <w:rsid w:val="006B7D3B"/>
    <w:rsid w:val="006C3C0B"/>
    <w:rsid w:val="006C7679"/>
    <w:rsid w:val="006D03F0"/>
    <w:rsid w:val="006D0842"/>
    <w:rsid w:val="006D10ED"/>
    <w:rsid w:val="006D4E1E"/>
    <w:rsid w:val="006D608E"/>
    <w:rsid w:val="006D6242"/>
    <w:rsid w:val="006D6826"/>
    <w:rsid w:val="006D77ED"/>
    <w:rsid w:val="006D7AD2"/>
    <w:rsid w:val="006D7CAE"/>
    <w:rsid w:val="006E0384"/>
    <w:rsid w:val="006E12CC"/>
    <w:rsid w:val="006E701F"/>
    <w:rsid w:val="006E77F2"/>
    <w:rsid w:val="006E7FE8"/>
    <w:rsid w:val="006F0899"/>
    <w:rsid w:val="006F0BEA"/>
    <w:rsid w:val="006F5681"/>
    <w:rsid w:val="006F7F72"/>
    <w:rsid w:val="0070031E"/>
    <w:rsid w:val="0070075F"/>
    <w:rsid w:val="00703E15"/>
    <w:rsid w:val="00704F5C"/>
    <w:rsid w:val="0070542C"/>
    <w:rsid w:val="00705CB8"/>
    <w:rsid w:val="00707175"/>
    <w:rsid w:val="007071DA"/>
    <w:rsid w:val="00710AEB"/>
    <w:rsid w:val="00713F97"/>
    <w:rsid w:val="00715420"/>
    <w:rsid w:val="007174B7"/>
    <w:rsid w:val="00720B8F"/>
    <w:rsid w:val="00721EDA"/>
    <w:rsid w:val="00724534"/>
    <w:rsid w:val="00724C26"/>
    <w:rsid w:val="007279B2"/>
    <w:rsid w:val="00730049"/>
    <w:rsid w:val="00731564"/>
    <w:rsid w:val="00732643"/>
    <w:rsid w:val="0073476D"/>
    <w:rsid w:val="007349BC"/>
    <w:rsid w:val="007356E4"/>
    <w:rsid w:val="00742355"/>
    <w:rsid w:val="00742364"/>
    <w:rsid w:val="007478E0"/>
    <w:rsid w:val="00755992"/>
    <w:rsid w:val="00757930"/>
    <w:rsid w:val="00757A90"/>
    <w:rsid w:val="007601DD"/>
    <w:rsid w:val="00764BEB"/>
    <w:rsid w:val="007656E9"/>
    <w:rsid w:val="007674DF"/>
    <w:rsid w:val="0077070A"/>
    <w:rsid w:val="00771217"/>
    <w:rsid w:val="00772068"/>
    <w:rsid w:val="00775A91"/>
    <w:rsid w:val="00777D62"/>
    <w:rsid w:val="007814E4"/>
    <w:rsid w:val="00781A67"/>
    <w:rsid w:val="00782B21"/>
    <w:rsid w:val="0078323F"/>
    <w:rsid w:val="00785E47"/>
    <w:rsid w:val="007871EA"/>
    <w:rsid w:val="00787806"/>
    <w:rsid w:val="007919E1"/>
    <w:rsid w:val="0079529D"/>
    <w:rsid w:val="007956BF"/>
    <w:rsid w:val="007A1EED"/>
    <w:rsid w:val="007A37EF"/>
    <w:rsid w:val="007A4D1C"/>
    <w:rsid w:val="007A5707"/>
    <w:rsid w:val="007A5D45"/>
    <w:rsid w:val="007A6558"/>
    <w:rsid w:val="007A698B"/>
    <w:rsid w:val="007A75ED"/>
    <w:rsid w:val="007B3349"/>
    <w:rsid w:val="007B35FB"/>
    <w:rsid w:val="007B3769"/>
    <w:rsid w:val="007B467B"/>
    <w:rsid w:val="007B55F2"/>
    <w:rsid w:val="007B5FA2"/>
    <w:rsid w:val="007C2CB7"/>
    <w:rsid w:val="007C2D84"/>
    <w:rsid w:val="007C37A5"/>
    <w:rsid w:val="007C51E9"/>
    <w:rsid w:val="007C66EB"/>
    <w:rsid w:val="007D3EAF"/>
    <w:rsid w:val="007D5B9A"/>
    <w:rsid w:val="007D7B8E"/>
    <w:rsid w:val="007D7FAD"/>
    <w:rsid w:val="007E279F"/>
    <w:rsid w:val="007F430D"/>
    <w:rsid w:val="007F552F"/>
    <w:rsid w:val="007F6AC3"/>
    <w:rsid w:val="0080260D"/>
    <w:rsid w:val="008031A6"/>
    <w:rsid w:val="00805220"/>
    <w:rsid w:val="00805B04"/>
    <w:rsid w:val="00806244"/>
    <w:rsid w:val="00806539"/>
    <w:rsid w:val="0080678B"/>
    <w:rsid w:val="00810EAB"/>
    <w:rsid w:val="00812776"/>
    <w:rsid w:val="00815FEC"/>
    <w:rsid w:val="00823AE6"/>
    <w:rsid w:val="0082411F"/>
    <w:rsid w:val="00824191"/>
    <w:rsid w:val="00826983"/>
    <w:rsid w:val="00833142"/>
    <w:rsid w:val="00833788"/>
    <w:rsid w:val="008344A7"/>
    <w:rsid w:val="008361DF"/>
    <w:rsid w:val="00840762"/>
    <w:rsid w:val="008433A9"/>
    <w:rsid w:val="00850F82"/>
    <w:rsid w:val="00851D76"/>
    <w:rsid w:val="008526C8"/>
    <w:rsid w:val="0085467D"/>
    <w:rsid w:val="008563A3"/>
    <w:rsid w:val="00857F34"/>
    <w:rsid w:val="00866290"/>
    <w:rsid w:val="0086775F"/>
    <w:rsid w:val="008724C1"/>
    <w:rsid w:val="00873B15"/>
    <w:rsid w:val="00874004"/>
    <w:rsid w:val="00874438"/>
    <w:rsid w:val="008748AB"/>
    <w:rsid w:val="008772C9"/>
    <w:rsid w:val="008773A3"/>
    <w:rsid w:val="00877748"/>
    <w:rsid w:val="00881CFA"/>
    <w:rsid w:val="00883957"/>
    <w:rsid w:val="00883BA7"/>
    <w:rsid w:val="0088475D"/>
    <w:rsid w:val="00884DE1"/>
    <w:rsid w:val="008861D7"/>
    <w:rsid w:val="00887A58"/>
    <w:rsid w:val="008916DD"/>
    <w:rsid w:val="00894094"/>
    <w:rsid w:val="008979E7"/>
    <w:rsid w:val="00897BD2"/>
    <w:rsid w:val="008A02F0"/>
    <w:rsid w:val="008A1E6C"/>
    <w:rsid w:val="008A2A1E"/>
    <w:rsid w:val="008A3634"/>
    <w:rsid w:val="008A46FF"/>
    <w:rsid w:val="008A5DD9"/>
    <w:rsid w:val="008A5E5B"/>
    <w:rsid w:val="008A7B4A"/>
    <w:rsid w:val="008B0964"/>
    <w:rsid w:val="008B1426"/>
    <w:rsid w:val="008B2A50"/>
    <w:rsid w:val="008B542B"/>
    <w:rsid w:val="008B5F85"/>
    <w:rsid w:val="008B635E"/>
    <w:rsid w:val="008B6417"/>
    <w:rsid w:val="008B7433"/>
    <w:rsid w:val="008B7BFC"/>
    <w:rsid w:val="008C1B67"/>
    <w:rsid w:val="008C2876"/>
    <w:rsid w:val="008C3919"/>
    <w:rsid w:val="008C494B"/>
    <w:rsid w:val="008C62E0"/>
    <w:rsid w:val="008D08E2"/>
    <w:rsid w:val="008D0CD3"/>
    <w:rsid w:val="008D3344"/>
    <w:rsid w:val="008D4EB7"/>
    <w:rsid w:val="008D6916"/>
    <w:rsid w:val="008E02B1"/>
    <w:rsid w:val="008E0301"/>
    <w:rsid w:val="008E13C5"/>
    <w:rsid w:val="008E41D0"/>
    <w:rsid w:val="008E4FE1"/>
    <w:rsid w:val="008E59FE"/>
    <w:rsid w:val="008E74CD"/>
    <w:rsid w:val="008F144B"/>
    <w:rsid w:val="008F6022"/>
    <w:rsid w:val="008F62FD"/>
    <w:rsid w:val="008F69A9"/>
    <w:rsid w:val="009012FE"/>
    <w:rsid w:val="00901E9A"/>
    <w:rsid w:val="00904AEA"/>
    <w:rsid w:val="00912322"/>
    <w:rsid w:val="0091391B"/>
    <w:rsid w:val="00913949"/>
    <w:rsid w:val="00913E66"/>
    <w:rsid w:val="00915037"/>
    <w:rsid w:val="009169FD"/>
    <w:rsid w:val="0091788F"/>
    <w:rsid w:val="0092246B"/>
    <w:rsid w:val="009227F9"/>
    <w:rsid w:val="00922F73"/>
    <w:rsid w:val="0092472F"/>
    <w:rsid w:val="00926E64"/>
    <w:rsid w:val="00927957"/>
    <w:rsid w:val="00930C6D"/>
    <w:rsid w:val="00931071"/>
    <w:rsid w:val="00933AA7"/>
    <w:rsid w:val="00935055"/>
    <w:rsid w:val="00936532"/>
    <w:rsid w:val="00936EB1"/>
    <w:rsid w:val="00937322"/>
    <w:rsid w:val="0093792E"/>
    <w:rsid w:val="00940BA2"/>
    <w:rsid w:val="009422B9"/>
    <w:rsid w:val="00945E1F"/>
    <w:rsid w:val="009461D2"/>
    <w:rsid w:val="00947F2F"/>
    <w:rsid w:val="00951C6B"/>
    <w:rsid w:val="00952A8D"/>
    <w:rsid w:val="009530CF"/>
    <w:rsid w:val="00956C7A"/>
    <w:rsid w:val="00956ECC"/>
    <w:rsid w:val="00960824"/>
    <w:rsid w:val="00960D4C"/>
    <w:rsid w:val="009613DC"/>
    <w:rsid w:val="00963F3E"/>
    <w:rsid w:val="0096585E"/>
    <w:rsid w:val="00967F99"/>
    <w:rsid w:val="009728A1"/>
    <w:rsid w:val="009758F0"/>
    <w:rsid w:val="009777EB"/>
    <w:rsid w:val="009804F1"/>
    <w:rsid w:val="00983140"/>
    <w:rsid w:val="009838FF"/>
    <w:rsid w:val="00986615"/>
    <w:rsid w:val="00986EF8"/>
    <w:rsid w:val="00990441"/>
    <w:rsid w:val="00990A6E"/>
    <w:rsid w:val="009914C0"/>
    <w:rsid w:val="009919EF"/>
    <w:rsid w:val="00992941"/>
    <w:rsid w:val="00992A48"/>
    <w:rsid w:val="0099412F"/>
    <w:rsid w:val="009943B1"/>
    <w:rsid w:val="009969B4"/>
    <w:rsid w:val="00997D39"/>
    <w:rsid w:val="009A0A5C"/>
    <w:rsid w:val="009A21AB"/>
    <w:rsid w:val="009A355D"/>
    <w:rsid w:val="009A3571"/>
    <w:rsid w:val="009A4170"/>
    <w:rsid w:val="009A41C3"/>
    <w:rsid w:val="009A467D"/>
    <w:rsid w:val="009A5FF5"/>
    <w:rsid w:val="009A6931"/>
    <w:rsid w:val="009B03E4"/>
    <w:rsid w:val="009B1BB4"/>
    <w:rsid w:val="009B2014"/>
    <w:rsid w:val="009B3239"/>
    <w:rsid w:val="009B40A8"/>
    <w:rsid w:val="009B4939"/>
    <w:rsid w:val="009B768B"/>
    <w:rsid w:val="009C2FAB"/>
    <w:rsid w:val="009C34BB"/>
    <w:rsid w:val="009C45DE"/>
    <w:rsid w:val="009C4E11"/>
    <w:rsid w:val="009C5EE2"/>
    <w:rsid w:val="009C7301"/>
    <w:rsid w:val="009D15A9"/>
    <w:rsid w:val="009D16B3"/>
    <w:rsid w:val="009D26DD"/>
    <w:rsid w:val="009D3510"/>
    <w:rsid w:val="009D3E50"/>
    <w:rsid w:val="009D4A9D"/>
    <w:rsid w:val="009D520E"/>
    <w:rsid w:val="009D6883"/>
    <w:rsid w:val="009D6E3F"/>
    <w:rsid w:val="009D7DEA"/>
    <w:rsid w:val="009E121A"/>
    <w:rsid w:val="009E1B10"/>
    <w:rsid w:val="009E283A"/>
    <w:rsid w:val="009E3896"/>
    <w:rsid w:val="009E3CC8"/>
    <w:rsid w:val="009E6058"/>
    <w:rsid w:val="009F4757"/>
    <w:rsid w:val="009F5467"/>
    <w:rsid w:val="009F70FB"/>
    <w:rsid w:val="009F794B"/>
    <w:rsid w:val="009F7B0B"/>
    <w:rsid w:val="00A00A43"/>
    <w:rsid w:val="00A012B7"/>
    <w:rsid w:val="00A024EE"/>
    <w:rsid w:val="00A0253A"/>
    <w:rsid w:val="00A0414B"/>
    <w:rsid w:val="00A0555B"/>
    <w:rsid w:val="00A078E5"/>
    <w:rsid w:val="00A07972"/>
    <w:rsid w:val="00A10FCE"/>
    <w:rsid w:val="00A1295A"/>
    <w:rsid w:val="00A12E41"/>
    <w:rsid w:val="00A144B8"/>
    <w:rsid w:val="00A1492D"/>
    <w:rsid w:val="00A154AA"/>
    <w:rsid w:val="00A16C04"/>
    <w:rsid w:val="00A17891"/>
    <w:rsid w:val="00A201AF"/>
    <w:rsid w:val="00A204E8"/>
    <w:rsid w:val="00A22FBF"/>
    <w:rsid w:val="00A2722A"/>
    <w:rsid w:val="00A3126B"/>
    <w:rsid w:val="00A34A07"/>
    <w:rsid w:val="00A352D7"/>
    <w:rsid w:val="00A35DF1"/>
    <w:rsid w:val="00A36D0C"/>
    <w:rsid w:val="00A41C24"/>
    <w:rsid w:val="00A42EDC"/>
    <w:rsid w:val="00A46965"/>
    <w:rsid w:val="00A501E6"/>
    <w:rsid w:val="00A51668"/>
    <w:rsid w:val="00A523A1"/>
    <w:rsid w:val="00A52845"/>
    <w:rsid w:val="00A5351B"/>
    <w:rsid w:val="00A54DF3"/>
    <w:rsid w:val="00A558CC"/>
    <w:rsid w:val="00A572DD"/>
    <w:rsid w:val="00A57471"/>
    <w:rsid w:val="00A60B70"/>
    <w:rsid w:val="00A616FB"/>
    <w:rsid w:val="00A61A4B"/>
    <w:rsid w:val="00A720E8"/>
    <w:rsid w:val="00A724E8"/>
    <w:rsid w:val="00A728C7"/>
    <w:rsid w:val="00A72DBD"/>
    <w:rsid w:val="00A74F60"/>
    <w:rsid w:val="00A80C75"/>
    <w:rsid w:val="00A83E11"/>
    <w:rsid w:val="00A84832"/>
    <w:rsid w:val="00A866D9"/>
    <w:rsid w:val="00A87BD1"/>
    <w:rsid w:val="00A87DF9"/>
    <w:rsid w:val="00A918D9"/>
    <w:rsid w:val="00A92561"/>
    <w:rsid w:val="00A93C66"/>
    <w:rsid w:val="00A96169"/>
    <w:rsid w:val="00AA0713"/>
    <w:rsid w:val="00AA0F8D"/>
    <w:rsid w:val="00AA1B58"/>
    <w:rsid w:val="00AA31D1"/>
    <w:rsid w:val="00AA35D6"/>
    <w:rsid w:val="00AA492F"/>
    <w:rsid w:val="00AA4947"/>
    <w:rsid w:val="00AA508A"/>
    <w:rsid w:val="00AA767B"/>
    <w:rsid w:val="00AB0C6E"/>
    <w:rsid w:val="00AB0DCD"/>
    <w:rsid w:val="00AB187C"/>
    <w:rsid w:val="00AB2917"/>
    <w:rsid w:val="00AB35BF"/>
    <w:rsid w:val="00AB38BD"/>
    <w:rsid w:val="00AB46C7"/>
    <w:rsid w:val="00AB4B35"/>
    <w:rsid w:val="00AB5676"/>
    <w:rsid w:val="00AB64AD"/>
    <w:rsid w:val="00AB7118"/>
    <w:rsid w:val="00AC0A4E"/>
    <w:rsid w:val="00AC1A17"/>
    <w:rsid w:val="00AC249A"/>
    <w:rsid w:val="00AC24E0"/>
    <w:rsid w:val="00AD0FBB"/>
    <w:rsid w:val="00AD1156"/>
    <w:rsid w:val="00AD2466"/>
    <w:rsid w:val="00AD444E"/>
    <w:rsid w:val="00AD48CA"/>
    <w:rsid w:val="00AD5F60"/>
    <w:rsid w:val="00AD603A"/>
    <w:rsid w:val="00AD7F95"/>
    <w:rsid w:val="00AE0BE6"/>
    <w:rsid w:val="00AE1D38"/>
    <w:rsid w:val="00AE2005"/>
    <w:rsid w:val="00AE20E4"/>
    <w:rsid w:val="00AE2BFA"/>
    <w:rsid w:val="00AE38F2"/>
    <w:rsid w:val="00AE3AF3"/>
    <w:rsid w:val="00AE3CCB"/>
    <w:rsid w:val="00AE3E09"/>
    <w:rsid w:val="00AE400B"/>
    <w:rsid w:val="00AE5111"/>
    <w:rsid w:val="00AE7E15"/>
    <w:rsid w:val="00AE7E43"/>
    <w:rsid w:val="00AF0D49"/>
    <w:rsid w:val="00AF2DC1"/>
    <w:rsid w:val="00AF3DF4"/>
    <w:rsid w:val="00AF5D56"/>
    <w:rsid w:val="00B01021"/>
    <w:rsid w:val="00B03F3F"/>
    <w:rsid w:val="00B04194"/>
    <w:rsid w:val="00B051E3"/>
    <w:rsid w:val="00B12F52"/>
    <w:rsid w:val="00B17BD9"/>
    <w:rsid w:val="00B20301"/>
    <w:rsid w:val="00B21C60"/>
    <w:rsid w:val="00B247D9"/>
    <w:rsid w:val="00B26168"/>
    <w:rsid w:val="00B26C50"/>
    <w:rsid w:val="00B324D0"/>
    <w:rsid w:val="00B324EB"/>
    <w:rsid w:val="00B34584"/>
    <w:rsid w:val="00B34DA8"/>
    <w:rsid w:val="00B35747"/>
    <w:rsid w:val="00B35E8D"/>
    <w:rsid w:val="00B35FAF"/>
    <w:rsid w:val="00B36B9B"/>
    <w:rsid w:val="00B36C9E"/>
    <w:rsid w:val="00B4130E"/>
    <w:rsid w:val="00B42067"/>
    <w:rsid w:val="00B45807"/>
    <w:rsid w:val="00B4593A"/>
    <w:rsid w:val="00B45D6B"/>
    <w:rsid w:val="00B479B1"/>
    <w:rsid w:val="00B47FF8"/>
    <w:rsid w:val="00B5386F"/>
    <w:rsid w:val="00B5612A"/>
    <w:rsid w:val="00B601E5"/>
    <w:rsid w:val="00B61F03"/>
    <w:rsid w:val="00B62B74"/>
    <w:rsid w:val="00B639C9"/>
    <w:rsid w:val="00B63CBE"/>
    <w:rsid w:val="00B6407B"/>
    <w:rsid w:val="00B658D0"/>
    <w:rsid w:val="00B66C74"/>
    <w:rsid w:val="00B66F7A"/>
    <w:rsid w:val="00B73977"/>
    <w:rsid w:val="00B75F85"/>
    <w:rsid w:val="00B76FB1"/>
    <w:rsid w:val="00B776A3"/>
    <w:rsid w:val="00B82AF3"/>
    <w:rsid w:val="00B851DE"/>
    <w:rsid w:val="00B90F0C"/>
    <w:rsid w:val="00B9323A"/>
    <w:rsid w:val="00B93928"/>
    <w:rsid w:val="00B94302"/>
    <w:rsid w:val="00B94A06"/>
    <w:rsid w:val="00B95A19"/>
    <w:rsid w:val="00B961A9"/>
    <w:rsid w:val="00B96983"/>
    <w:rsid w:val="00BA03B9"/>
    <w:rsid w:val="00BA25CB"/>
    <w:rsid w:val="00BA2B02"/>
    <w:rsid w:val="00BA5466"/>
    <w:rsid w:val="00BA5C4C"/>
    <w:rsid w:val="00BA6F74"/>
    <w:rsid w:val="00BB19F7"/>
    <w:rsid w:val="00BB2CE2"/>
    <w:rsid w:val="00BB3076"/>
    <w:rsid w:val="00BB3189"/>
    <w:rsid w:val="00BB3683"/>
    <w:rsid w:val="00BB76AE"/>
    <w:rsid w:val="00BC0359"/>
    <w:rsid w:val="00BC0CB5"/>
    <w:rsid w:val="00BC2845"/>
    <w:rsid w:val="00BC55F6"/>
    <w:rsid w:val="00BC5D27"/>
    <w:rsid w:val="00BC72F8"/>
    <w:rsid w:val="00BC7F52"/>
    <w:rsid w:val="00BD34AD"/>
    <w:rsid w:val="00BD38DB"/>
    <w:rsid w:val="00BD428E"/>
    <w:rsid w:val="00BE1BCE"/>
    <w:rsid w:val="00BE233F"/>
    <w:rsid w:val="00BE5349"/>
    <w:rsid w:val="00BF164D"/>
    <w:rsid w:val="00BF3777"/>
    <w:rsid w:val="00BF5DF7"/>
    <w:rsid w:val="00C00A03"/>
    <w:rsid w:val="00C00A63"/>
    <w:rsid w:val="00C01B25"/>
    <w:rsid w:val="00C0314F"/>
    <w:rsid w:val="00C062E9"/>
    <w:rsid w:val="00C102B0"/>
    <w:rsid w:val="00C15F91"/>
    <w:rsid w:val="00C16F52"/>
    <w:rsid w:val="00C20D8E"/>
    <w:rsid w:val="00C222E0"/>
    <w:rsid w:val="00C22515"/>
    <w:rsid w:val="00C25BBC"/>
    <w:rsid w:val="00C31DC6"/>
    <w:rsid w:val="00C332C1"/>
    <w:rsid w:val="00C36087"/>
    <w:rsid w:val="00C44618"/>
    <w:rsid w:val="00C47154"/>
    <w:rsid w:val="00C507A7"/>
    <w:rsid w:val="00C53AB3"/>
    <w:rsid w:val="00C56502"/>
    <w:rsid w:val="00C6233F"/>
    <w:rsid w:val="00C62A02"/>
    <w:rsid w:val="00C64962"/>
    <w:rsid w:val="00C70054"/>
    <w:rsid w:val="00C717B0"/>
    <w:rsid w:val="00C72D9E"/>
    <w:rsid w:val="00C75DAD"/>
    <w:rsid w:val="00C75FFD"/>
    <w:rsid w:val="00C77BBC"/>
    <w:rsid w:val="00C82620"/>
    <w:rsid w:val="00C83220"/>
    <w:rsid w:val="00C8529E"/>
    <w:rsid w:val="00C864C5"/>
    <w:rsid w:val="00C86DF2"/>
    <w:rsid w:val="00C904C1"/>
    <w:rsid w:val="00C93E76"/>
    <w:rsid w:val="00C94F14"/>
    <w:rsid w:val="00C9659A"/>
    <w:rsid w:val="00C969B5"/>
    <w:rsid w:val="00C974C5"/>
    <w:rsid w:val="00C9795F"/>
    <w:rsid w:val="00C97CD4"/>
    <w:rsid w:val="00CA2A81"/>
    <w:rsid w:val="00CA3289"/>
    <w:rsid w:val="00CA390F"/>
    <w:rsid w:val="00CA610A"/>
    <w:rsid w:val="00CB0652"/>
    <w:rsid w:val="00CB0C48"/>
    <w:rsid w:val="00CB11BC"/>
    <w:rsid w:val="00CB1F66"/>
    <w:rsid w:val="00CB2021"/>
    <w:rsid w:val="00CB3A5D"/>
    <w:rsid w:val="00CB3F09"/>
    <w:rsid w:val="00CB428A"/>
    <w:rsid w:val="00CB4522"/>
    <w:rsid w:val="00CB46EA"/>
    <w:rsid w:val="00CB54FC"/>
    <w:rsid w:val="00CC074B"/>
    <w:rsid w:val="00CC10FD"/>
    <w:rsid w:val="00CC11E7"/>
    <w:rsid w:val="00CC12CA"/>
    <w:rsid w:val="00CC143E"/>
    <w:rsid w:val="00CC2242"/>
    <w:rsid w:val="00CC29F9"/>
    <w:rsid w:val="00CC2A85"/>
    <w:rsid w:val="00CC2F64"/>
    <w:rsid w:val="00CC58BE"/>
    <w:rsid w:val="00CD05D0"/>
    <w:rsid w:val="00CD11DB"/>
    <w:rsid w:val="00CD270F"/>
    <w:rsid w:val="00CE178C"/>
    <w:rsid w:val="00CE1807"/>
    <w:rsid w:val="00CE18EC"/>
    <w:rsid w:val="00CE2001"/>
    <w:rsid w:val="00CE258D"/>
    <w:rsid w:val="00CE3775"/>
    <w:rsid w:val="00CE4D62"/>
    <w:rsid w:val="00CE7A3F"/>
    <w:rsid w:val="00CF1B22"/>
    <w:rsid w:val="00CF35D4"/>
    <w:rsid w:val="00CF5DC7"/>
    <w:rsid w:val="00CF60F3"/>
    <w:rsid w:val="00CF674A"/>
    <w:rsid w:val="00CF6845"/>
    <w:rsid w:val="00CF6971"/>
    <w:rsid w:val="00CF6A7B"/>
    <w:rsid w:val="00D00202"/>
    <w:rsid w:val="00D01031"/>
    <w:rsid w:val="00D0221E"/>
    <w:rsid w:val="00D03AB3"/>
    <w:rsid w:val="00D04904"/>
    <w:rsid w:val="00D06631"/>
    <w:rsid w:val="00D06DBE"/>
    <w:rsid w:val="00D06ECB"/>
    <w:rsid w:val="00D10C93"/>
    <w:rsid w:val="00D11475"/>
    <w:rsid w:val="00D12C0B"/>
    <w:rsid w:val="00D14DCA"/>
    <w:rsid w:val="00D16A68"/>
    <w:rsid w:val="00D176C7"/>
    <w:rsid w:val="00D17FF0"/>
    <w:rsid w:val="00D254F4"/>
    <w:rsid w:val="00D330AF"/>
    <w:rsid w:val="00D33147"/>
    <w:rsid w:val="00D340CC"/>
    <w:rsid w:val="00D34583"/>
    <w:rsid w:val="00D34B3F"/>
    <w:rsid w:val="00D3511C"/>
    <w:rsid w:val="00D40B12"/>
    <w:rsid w:val="00D41604"/>
    <w:rsid w:val="00D42C0B"/>
    <w:rsid w:val="00D46DF3"/>
    <w:rsid w:val="00D5051A"/>
    <w:rsid w:val="00D515AB"/>
    <w:rsid w:val="00D52132"/>
    <w:rsid w:val="00D541A3"/>
    <w:rsid w:val="00D545B6"/>
    <w:rsid w:val="00D55302"/>
    <w:rsid w:val="00D576F1"/>
    <w:rsid w:val="00D60ACA"/>
    <w:rsid w:val="00D62F65"/>
    <w:rsid w:val="00D634A5"/>
    <w:rsid w:val="00D637AE"/>
    <w:rsid w:val="00D65479"/>
    <w:rsid w:val="00D73DF3"/>
    <w:rsid w:val="00D74237"/>
    <w:rsid w:val="00D76322"/>
    <w:rsid w:val="00D76AFD"/>
    <w:rsid w:val="00D779B6"/>
    <w:rsid w:val="00D77CE8"/>
    <w:rsid w:val="00D800A4"/>
    <w:rsid w:val="00D812E8"/>
    <w:rsid w:val="00D82276"/>
    <w:rsid w:val="00D82586"/>
    <w:rsid w:val="00D87564"/>
    <w:rsid w:val="00D90419"/>
    <w:rsid w:val="00D9242C"/>
    <w:rsid w:val="00D95DD7"/>
    <w:rsid w:val="00D961BE"/>
    <w:rsid w:val="00D97AE1"/>
    <w:rsid w:val="00DA12C2"/>
    <w:rsid w:val="00DA32E8"/>
    <w:rsid w:val="00DA6521"/>
    <w:rsid w:val="00DB03E5"/>
    <w:rsid w:val="00DB11C9"/>
    <w:rsid w:val="00DB18A9"/>
    <w:rsid w:val="00DB1AFC"/>
    <w:rsid w:val="00DB1B21"/>
    <w:rsid w:val="00DB42C2"/>
    <w:rsid w:val="00DB6233"/>
    <w:rsid w:val="00DB7035"/>
    <w:rsid w:val="00DC2408"/>
    <w:rsid w:val="00DC28E4"/>
    <w:rsid w:val="00DC5019"/>
    <w:rsid w:val="00DC59A2"/>
    <w:rsid w:val="00DC725F"/>
    <w:rsid w:val="00DD0EBD"/>
    <w:rsid w:val="00DD3B57"/>
    <w:rsid w:val="00DD543E"/>
    <w:rsid w:val="00DD722A"/>
    <w:rsid w:val="00DD73DF"/>
    <w:rsid w:val="00DE06C3"/>
    <w:rsid w:val="00DE0904"/>
    <w:rsid w:val="00DE1014"/>
    <w:rsid w:val="00DE2C89"/>
    <w:rsid w:val="00DE5FF6"/>
    <w:rsid w:val="00DE70C7"/>
    <w:rsid w:val="00DE73DC"/>
    <w:rsid w:val="00DE76BD"/>
    <w:rsid w:val="00DE7C87"/>
    <w:rsid w:val="00DE7E4F"/>
    <w:rsid w:val="00DF0E16"/>
    <w:rsid w:val="00DF21AB"/>
    <w:rsid w:val="00DF2938"/>
    <w:rsid w:val="00DF2A8A"/>
    <w:rsid w:val="00DF2D77"/>
    <w:rsid w:val="00DF3E3A"/>
    <w:rsid w:val="00DF67BD"/>
    <w:rsid w:val="00E01626"/>
    <w:rsid w:val="00E034D3"/>
    <w:rsid w:val="00E047C0"/>
    <w:rsid w:val="00E07473"/>
    <w:rsid w:val="00E10C93"/>
    <w:rsid w:val="00E168EE"/>
    <w:rsid w:val="00E2035A"/>
    <w:rsid w:val="00E22F28"/>
    <w:rsid w:val="00E23292"/>
    <w:rsid w:val="00E2448E"/>
    <w:rsid w:val="00E2773F"/>
    <w:rsid w:val="00E31685"/>
    <w:rsid w:val="00E31ECB"/>
    <w:rsid w:val="00E32F0A"/>
    <w:rsid w:val="00E34490"/>
    <w:rsid w:val="00E373CF"/>
    <w:rsid w:val="00E37DC0"/>
    <w:rsid w:val="00E404AA"/>
    <w:rsid w:val="00E4387E"/>
    <w:rsid w:val="00E44AFE"/>
    <w:rsid w:val="00E44DA5"/>
    <w:rsid w:val="00E45B87"/>
    <w:rsid w:val="00E533E5"/>
    <w:rsid w:val="00E545C9"/>
    <w:rsid w:val="00E56813"/>
    <w:rsid w:val="00E57ACB"/>
    <w:rsid w:val="00E57FAD"/>
    <w:rsid w:val="00E6131D"/>
    <w:rsid w:val="00E62285"/>
    <w:rsid w:val="00E63509"/>
    <w:rsid w:val="00E6469F"/>
    <w:rsid w:val="00E65837"/>
    <w:rsid w:val="00E664C1"/>
    <w:rsid w:val="00E74090"/>
    <w:rsid w:val="00E777E3"/>
    <w:rsid w:val="00E77C73"/>
    <w:rsid w:val="00E813A5"/>
    <w:rsid w:val="00E81D9A"/>
    <w:rsid w:val="00E82726"/>
    <w:rsid w:val="00E84D4D"/>
    <w:rsid w:val="00E8568F"/>
    <w:rsid w:val="00E857F4"/>
    <w:rsid w:val="00E87CD1"/>
    <w:rsid w:val="00E91E41"/>
    <w:rsid w:val="00E93871"/>
    <w:rsid w:val="00E95C70"/>
    <w:rsid w:val="00EA6904"/>
    <w:rsid w:val="00EA733D"/>
    <w:rsid w:val="00EB066B"/>
    <w:rsid w:val="00EB4352"/>
    <w:rsid w:val="00EC056C"/>
    <w:rsid w:val="00EC1AB6"/>
    <w:rsid w:val="00EC2041"/>
    <w:rsid w:val="00EC268E"/>
    <w:rsid w:val="00EC7039"/>
    <w:rsid w:val="00EC71EB"/>
    <w:rsid w:val="00EC7458"/>
    <w:rsid w:val="00ED0FB4"/>
    <w:rsid w:val="00ED1399"/>
    <w:rsid w:val="00ED392E"/>
    <w:rsid w:val="00ED6DF6"/>
    <w:rsid w:val="00EE180E"/>
    <w:rsid w:val="00EE46BE"/>
    <w:rsid w:val="00EE4943"/>
    <w:rsid w:val="00EE5CB5"/>
    <w:rsid w:val="00EE7A1F"/>
    <w:rsid w:val="00EF139F"/>
    <w:rsid w:val="00EF2150"/>
    <w:rsid w:val="00EF2E2D"/>
    <w:rsid w:val="00EF4340"/>
    <w:rsid w:val="00EF6E8F"/>
    <w:rsid w:val="00EF790C"/>
    <w:rsid w:val="00F00853"/>
    <w:rsid w:val="00F01D72"/>
    <w:rsid w:val="00F02B9F"/>
    <w:rsid w:val="00F059BE"/>
    <w:rsid w:val="00F06605"/>
    <w:rsid w:val="00F127C8"/>
    <w:rsid w:val="00F12988"/>
    <w:rsid w:val="00F132F7"/>
    <w:rsid w:val="00F138D8"/>
    <w:rsid w:val="00F1498C"/>
    <w:rsid w:val="00F153EF"/>
    <w:rsid w:val="00F15571"/>
    <w:rsid w:val="00F16E22"/>
    <w:rsid w:val="00F2382B"/>
    <w:rsid w:val="00F26F5C"/>
    <w:rsid w:val="00F2740B"/>
    <w:rsid w:val="00F2762D"/>
    <w:rsid w:val="00F3041D"/>
    <w:rsid w:val="00F30D55"/>
    <w:rsid w:val="00F31969"/>
    <w:rsid w:val="00F31E92"/>
    <w:rsid w:val="00F32F33"/>
    <w:rsid w:val="00F35D71"/>
    <w:rsid w:val="00F370FC"/>
    <w:rsid w:val="00F37C94"/>
    <w:rsid w:val="00F40E88"/>
    <w:rsid w:val="00F410C1"/>
    <w:rsid w:val="00F421C0"/>
    <w:rsid w:val="00F44872"/>
    <w:rsid w:val="00F44886"/>
    <w:rsid w:val="00F46469"/>
    <w:rsid w:val="00F469B8"/>
    <w:rsid w:val="00F5010D"/>
    <w:rsid w:val="00F5402B"/>
    <w:rsid w:val="00F54BC6"/>
    <w:rsid w:val="00F553B5"/>
    <w:rsid w:val="00F563DC"/>
    <w:rsid w:val="00F5687C"/>
    <w:rsid w:val="00F6310F"/>
    <w:rsid w:val="00F63904"/>
    <w:rsid w:val="00F65B18"/>
    <w:rsid w:val="00F6706B"/>
    <w:rsid w:val="00F72870"/>
    <w:rsid w:val="00F738E5"/>
    <w:rsid w:val="00F74B15"/>
    <w:rsid w:val="00F74D45"/>
    <w:rsid w:val="00F76CC9"/>
    <w:rsid w:val="00F77744"/>
    <w:rsid w:val="00F779EF"/>
    <w:rsid w:val="00F77DC4"/>
    <w:rsid w:val="00F80499"/>
    <w:rsid w:val="00F81BED"/>
    <w:rsid w:val="00F842F5"/>
    <w:rsid w:val="00F849DE"/>
    <w:rsid w:val="00F85D5A"/>
    <w:rsid w:val="00F877B4"/>
    <w:rsid w:val="00F8791B"/>
    <w:rsid w:val="00F87D48"/>
    <w:rsid w:val="00F91530"/>
    <w:rsid w:val="00F91BFF"/>
    <w:rsid w:val="00F9457C"/>
    <w:rsid w:val="00F95571"/>
    <w:rsid w:val="00F95ACE"/>
    <w:rsid w:val="00F95E7A"/>
    <w:rsid w:val="00F9647F"/>
    <w:rsid w:val="00F97BF0"/>
    <w:rsid w:val="00FA3FB1"/>
    <w:rsid w:val="00FA4E48"/>
    <w:rsid w:val="00FA51E4"/>
    <w:rsid w:val="00FA5C88"/>
    <w:rsid w:val="00FA5D0B"/>
    <w:rsid w:val="00FA5D96"/>
    <w:rsid w:val="00FA6424"/>
    <w:rsid w:val="00FA6DE5"/>
    <w:rsid w:val="00FA6F89"/>
    <w:rsid w:val="00FA76D5"/>
    <w:rsid w:val="00FB3C88"/>
    <w:rsid w:val="00FB5B60"/>
    <w:rsid w:val="00FB6EF9"/>
    <w:rsid w:val="00FC2BB0"/>
    <w:rsid w:val="00FC2FDC"/>
    <w:rsid w:val="00FC5DF2"/>
    <w:rsid w:val="00FD01FD"/>
    <w:rsid w:val="00FD0D9A"/>
    <w:rsid w:val="00FD22C9"/>
    <w:rsid w:val="00FD40D8"/>
    <w:rsid w:val="00FD51CB"/>
    <w:rsid w:val="00FE1FE9"/>
    <w:rsid w:val="00FE246D"/>
    <w:rsid w:val="00FE247C"/>
    <w:rsid w:val="00FE24E2"/>
    <w:rsid w:val="00FE30A2"/>
    <w:rsid w:val="00FE554D"/>
    <w:rsid w:val="00FF2E5A"/>
    <w:rsid w:val="00FF3C88"/>
    <w:rsid w:val="00FF3E55"/>
    <w:rsid w:val="00FF60AC"/>
    <w:rsid w:val="00FF68E3"/>
    <w:rsid w:val="00FF7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5D2B"/>
  <w15:chartTrackingRefBased/>
  <w15:docId w15:val="{2BCB1744-FD32-4398-BA64-A7D1F2AF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57"/>
    <w:pPr>
      <w:spacing w:line="360" w:lineRule="auto"/>
    </w:pPr>
    <w:rPr>
      <w:rFonts w:ascii="Arial" w:hAnsi="Arial" w:cs="Arial"/>
    </w:rPr>
  </w:style>
  <w:style w:type="paragraph" w:styleId="Heading1">
    <w:name w:val="heading 1"/>
    <w:basedOn w:val="Normal"/>
    <w:next w:val="Normal"/>
    <w:link w:val="Heading1Char"/>
    <w:uiPriority w:val="9"/>
    <w:qFormat/>
    <w:rsid w:val="00D961BE"/>
    <w:pPr>
      <w:keepNext/>
      <w:keepLines/>
      <w:outlineLvl w:val="0"/>
    </w:pPr>
    <w:rPr>
      <w:rFonts w:eastAsiaTheme="majorEastAsia"/>
      <w:b/>
      <w:bCs/>
      <w:color w:val="2F5496" w:themeColor="accent5" w:themeShade="BF"/>
      <w:sz w:val="32"/>
      <w:szCs w:val="32"/>
    </w:rPr>
  </w:style>
  <w:style w:type="paragraph" w:styleId="Heading2">
    <w:name w:val="heading 2"/>
    <w:basedOn w:val="Normal"/>
    <w:next w:val="Normal"/>
    <w:link w:val="Heading2Char"/>
    <w:uiPriority w:val="9"/>
    <w:unhideWhenUsed/>
    <w:qFormat/>
    <w:rsid w:val="0057155F"/>
    <w:pPr>
      <w:keepNext/>
      <w:keepLines/>
      <w:outlineLvl w:val="1"/>
    </w:pPr>
    <w:rPr>
      <w:rFonts w:eastAsiaTheme="majorEastAsia"/>
      <w:b/>
      <w:bCs/>
      <w:color w:val="2F5496" w:themeColor="accent5" w:themeShade="BF"/>
      <w:sz w:val="28"/>
      <w:szCs w:val="28"/>
    </w:rPr>
  </w:style>
  <w:style w:type="paragraph" w:styleId="Heading3">
    <w:name w:val="heading 3"/>
    <w:basedOn w:val="Normal"/>
    <w:next w:val="Normal"/>
    <w:link w:val="Heading3Char"/>
    <w:uiPriority w:val="9"/>
    <w:unhideWhenUsed/>
    <w:qFormat/>
    <w:rsid w:val="0057155F"/>
    <w:pPr>
      <w:keepNext/>
      <w:keepLines/>
      <w:outlineLvl w:val="2"/>
    </w:pPr>
    <w:rPr>
      <w:rFonts w:eastAsiaTheme="majorEastAsia"/>
      <w:b/>
      <w:bCs/>
      <w:color w:val="2F5496" w:themeColor="accent5" w:themeShade="BF"/>
      <w:sz w:val="24"/>
      <w:szCs w:val="24"/>
    </w:rPr>
  </w:style>
  <w:style w:type="paragraph" w:styleId="Heading4">
    <w:name w:val="heading 4"/>
    <w:basedOn w:val="Normal"/>
    <w:next w:val="Normal"/>
    <w:link w:val="Heading4Char"/>
    <w:uiPriority w:val="9"/>
    <w:unhideWhenUsed/>
    <w:qFormat/>
    <w:rsid w:val="008D6916"/>
    <w:pPr>
      <w:keepNext/>
      <w:keepLines/>
      <w:spacing w:before="40"/>
      <w:outlineLvl w:val="3"/>
    </w:pPr>
    <w:rPr>
      <w:rFonts w:eastAsiaTheme="majorEastAsia" w:cstheme="majorBidi"/>
      <w:b/>
      <w:i/>
      <w:iCs/>
      <w:color w:val="2F5496" w:themeColor="accent5" w:themeShade="BF"/>
    </w:rPr>
  </w:style>
  <w:style w:type="paragraph" w:styleId="Heading5">
    <w:name w:val="heading 5"/>
    <w:basedOn w:val="Normal"/>
    <w:next w:val="Normal"/>
    <w:link w:val="Heading5Char"/>
    <w:uiPriority w:val="9"/>
    <w:semiHidden/>
    <w:unhideWhenUsed/>
    <w:qFormat/>
    <w:rsid w:val="00BD34A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1BE"/>
    <w:rPr>
      <w:rFonts w:ascii="Arial" w:eastAsiaTheme="majorEastAsia" w:hAnsi="Arial" w:cs="Arial"/>
      <w:b/>
      <w:bCs/>
      <w:color w:val="2F5496" w:themeColor="accent5" w:themeShade="BF"/>
      <w:sz w:val="32"/>
      <w:szCs w:val="32"/>
    </w:rPr>
  </w:style>
  <w:style w:type="character" w:customStyle="1" w:styleId="A9">
    <w:name w:val="A9"/>
    <w:uiPriority w:val="99"/>
    <w:rsid w:val="00CF6A7B"/>
    <w:rPr>
      <w:rFonts w:cs="Myriad Pro"/>
      <w:color w:val="000000"/>
    </w:rPr>
  </w:style>
  <w:style w:type="character" w:styleId="CommentReference">
    <w:name w:val="annotation reference"/>
    <w:basedOn w:val="DefaultParagraphFont"/>
    <w:uiPriority w:val="99"/>
    <w:semiHidden/>
    <w:unhideWhenUsed/>
    <w:rsid w:val="009C34BB"/>
    <w:rPr>
      <w:sz w:val="16"/>
      <w:szCs w:val="16"/>
    </w:rPr>
  </w:style>
  <w:style w:type="paragraph" w:styleId="CommentText">
    <w:name w:val="annotation text"/>
    <w:basedOn w:val="Normal"/>
    <w:link w:val="CommentTextChar"/>
    <w:uiPriority w:val="99"/>
    <w:semiHidden/>
    <w:unhideWhenUsed/>
    <w:rsid w:val="009C34BB"/>
    <w:pPr>
      <w:spacing w:line="240" w:lineRule="auto"/>
    </w:pPr>
    <w:rPr>
      <w:sz w:val="20"/>
      <w:szCs w:val="20"/>
    </w:rPr>
  </w:style>
  <w:style w:type="character" w:customStyle="1" w:styleId="CommentTextChar">
    <w:name w:val="Comment Text Char"/>
    <w:basedOn w:val="DefaultParagraphFont"/>
    <w:link w:val="CommentText"/>
    <w:uiPriority w:val="99"/>
    <w:semiHidden/>
    <w:rsid w:val="009C34B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34BB"/>
    <w:rPr>
      <w:b/>
      <w:bCs/>
    </w:rPr>
  </w:style>
  <w:style w:type="character" w:customStyle="1" w:styleId="CommentSubjectChar">
    <w:name w:val="Comment Subject Char"/>
    <w:basedOn w:val="CommentTextChar"/>
    <w:link w:val="CommentSubject"/>
    <w:uiPriority w:val="99"/>
    <w:semiHidden/>
    <w:rsid w:val="009C34BB"/>
    <w:rPr>
      <w:rFonts w:ascii="Arial" w:hAnsi="Arial" w:cs="Arial"/>
      <w:b/>
      <w:bCs/>
      <w:sz w:val="20"/>
      <w:szCs w:val="20"/>
    </w:rPr>
  </w:style>
  <w:style w:type="paragraph" w:styleId="BalloonText">
    <w:name w:val="Balloon Text"/>
    <w:basedOn w:val="Normal"/>
    <w:link w:val="BalloonTextChar"/>
    <w:uiPriority w:val="99"/>
    <w:semiHidden/>
    <w:unhideWhenUsed/>
    <w:rsid w:val="009C34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4BB"/>
    <w:rPr>
      <w:rFonts w:ascii="Segoe UI" w:hAnsi="Segoe UI" w:cs="Segoe UI"/>
      <w:sz w:val="18"/>
      <w:szCs w:val="18"/>
    </w:rPr>
  </w:style>
  <w:style w:type="paragraph" w:styleId="Header">
    <w:name w:val="header"/>
    <w:basedOn w:val="Normal"/>
    <w:link w:val="HeaderChar"/>
    <w:uiPriority w:val="99"/>
    <w:unhideWhenUsed/>
    <w:rsid w:val="00116158"/>
    <w:pPr>
      <w:tabs>
        <w:tab w:val="center" w:pos="4680"/>
        <w:tab w:val="right" w:pos="9360"/>
      </w:tabs>
      <w:spacing w:line="240" w:lineRule="auto"/>
    </w:pPr>
  </w:style>
  <w:style w:type="character" w:customStyle="1" w:styleId="HeaderChar">
    <w:name w:val="Header Char"/>
    <w:basedOn w:val="DefaultParagraphFont"/>
    <w:link w:val="Header"/>
    <w:uiPriority w:val="99"/>
    <w:rsid w:val="00116158"/>
    <w:rPr>
      <w:rFonts w:ascii="Arial" w:hAnsi="Arial" w:cs="Arial"/>
    </w:rPr>
  </w:style>
  <w:style w:type="paragraph" w:styleId="Footer">
    <w:name w:val="footer"/>
    <w:basedOn w:val="Normal"/>
    <w:link w:val="FooterChar"/>
    <w:uiPriority w:val="99"/>
    <w:unhideWhenUsed/>
    <w:rsid w:val="00116158"/>
    <w:pPr>
      <w:tabs>
        <w:tab w:val="center" w:pos="4680"/>
        <w:tab w:val="right" w:pos="9360"/>
      </w:tabs>
      <w:spacing w:line="240" w:lineRule="auto"/>
    </w:pPr>
  </w:style>
  <w:style w:type="character" w:customStyle="1" w:styleId="FooterChar">
    <w:name w:val="Footer Char"/>
    <w:basedOn w:val="DefaultParagraphFont"/>
    <w:link w:val="Footer"/>
    <w:uiPriority w:val="99"/>
    <w:rsid w:val="00116158"/>
    <w:rPr>
      <w:rFonts w:ascii="Arial" w:hAnsi="Arial" w:cs="Arial"/>
    </w:rPr>
  </w:style>
  <w:style w:type="character" w:customStyle="1" w:styleId="Heading2Char">
    <w:name w:val="Heading 2 Char"/>
    <w:basedOn w:val="DefaultParagraphFont"/>
    <w:link w:val="Heading2"/>
    <w:uiPriority w:val="9"/>
    <w:rsid w:val="0057155F"/>
    <w:rPr>
      <w:rFonts w:ascii="Arial" w:eastAsiaTheme="majorEastAsia" w:hAnsi="Arial" w:cs="Arial"/>
      <w:b/>
      <w:bCs/>
      <w:color w:val="2F5496" w:themeColor="accent5" w:themeShade="BF"/>
      <w:sz w:val="28"/>
      <w:szCs w:val="28"/>
    </w:rPr>
  </w:style>
  <w:style w:type="character" w:customStyle="1" w:styleId="Heading3Char">
    <w:name w:val="Heading 3 Char"/>
    <w:basedOn w:val="DefaultParagraphFont"/>
    <w:link w:val="Heading3"/>
    <w:uiPriority w:val="9"/>
    <w:rsid w:val="0057155F"/>
    <w:rPr>
      <w:rFonts w:ascii="Arial" w:eastAsiaTheme="majorEastAsia" w:hAnsi="Arial" w:cs="Arial"/>
      <w:b/>
      <w:bCs/>
      <w:color w:val="2F5496" w:themeColor="accent5" w:themeShade="BF"/>
      <w:sz w:val="24"/>
      <w:szCs w:val="24"/>
    </w:rPr>
  </w:style>
  <w:style w:type="paragraph" w:styleId="NormalWeb">
    <w:name w:val="Normal (Web)"/>
    <w:basedOn w:val="Normal"/>
    <w:uiPriority w:val="99"/>
    <w:semiHidden/>
    <w:unhideWhenUsed/>
    <w:rsid w:val="00960D4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aliases w:val="Bullet List,FooterText,List Paragraph1,Colorful List Accent 1,Colorful List - Accent 11,Colorful List - Accent 111"/>
    <w:basedOn w:val="Normal"/>
    <w:link w:val="ListParagraphChar"/>
    <w:uiPriority w:val="34"/>
    <w:qFormat/>
    <w:rsid w:val="00AE7E43"/>
    <w:pPr>
      <w:ind w:left="720"/>
      <w:contextualSpacing/>
    </w:pPr>
  </w:style>
  <w:style w:type="table" w:styleId="TableGrid">
    <w:name w:val="Table Grid"/>
    <w:basedOn w:val="TableNormal"/>
    <w:uiPriority w:val="39"/>
    <w:rsid w:val="00CB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1EB7"/>
    <w:rPr>
      <w:rFonts w:ascii="Arial" w:hAnsi="Arial" w:cs="Arial"/>
    </w:rPr>
  </w:style>
  <w:style w:type="paragraph" w:styleId="TOCHeading">
    <w:name w:val="TOC Heading"/>
    <w:basedOn w:val="Heading1"/>
    <w:next w:val="Normal"/>
    <w:uiPriority w:val="39"/>
    <w:unhideWhenUsed/>
    <w:qFormat/>
    <w:rsid w:val="00936532"/>
    <w:pPr>
      <w:spacing w:before="240" w:line="259" w:lineRule="auto"/>
      <w:jc w:val="left"/>
      <w:outlineLvl w:val="9"/>
    </w:pPr>
    <w:rPr>
      <w:rFonts w:asciiTheme="majorHAnsi" w:hAnsiTheme="majorHAnsi" w:cstheme="majorBidi"/>
      <w:b w:val="0"/>
      <w:bCs w:val="0"/>
      <w:color w:val="2E74B5" w:themeColor="accent1" w:themeShade="BF"/>
    </w:rPr>
  </w:style>
  <w:style w:type="paragraph" w:styleId="TOC1">
    <w:name w:val="toc 1"/>
    <w:basedOn w:val="Normal"/>
    <w:next w:val="Normal"/>
    <w:autoRedefine/>
    <w:uiPriority w:val="39"/>
    <w:unhideWhenUsed/>
    <w:rsid w:val="001B2850"/>
    <w:pPr>
      <w:tabs>
        <w:tab w:val="left" w:pos="1260"/>
        <w:tab w:val="right" w:leader="dot" w:pos="9350"/>
      </w:tabs>
      <w:spacing w:after="100"/>
    </w:pPr>
  </w:style>
  <w:style w:type="paragraph" w:styleId="TOC2">
    <w:name w:val="toc 2"/>
    <w:basedOn w:val="Normal"/>
    <w:next w:val="Normal"/>
    <w:autoRedefine/>
    <w:uiPriority w:val="39"/>
    <w:unhideWhenUsed/>
    <w:rsid w:val="00936532"/>
    <w:pPr>
      <w:spacing w:after="100"/>
      <w:ind w:left="220"/>
    </w:pPr>
  </w:style>
  <w:style w:type="character" w:styleId="Hyperlink">
    <w:name w:val="Hyperlink"/>
    <w:basedOn w:val="DefaultParagraphFont"/>
    <w:uiPriority w:val="99"/>
    <w:unhideWhenUsed/>
    <w:rsid w:val="00936532"/>
    <w:rPr>
      <w:color w:val="0563C1" w:themeColor="hyperlink"/>
      <w:u w:val="single"/>
    </w:rPr>
  </w:style>
  <w:style w:type="character" w:customStyle="1" w:styleId="Heading5Char">
    <w:name w:val="Heading 5 Char"/>
    <w:basedOn w:val="DefaultParagraphFont"/>
    <w:link w:val="Heading5"/>
    <w:uiPriority w:val="9"/>
    <w:semiHidden/>
    <w:rsid w:val="00BD34AD"/>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8D6916"/>
    <w:rPr>
      <w:rFonts w:ascii="Arial" w:eastAsiaTheme="majorEastAsia" w:hAnsi="Arial" w:cstheme="majorBidi"/>
      <w:b/>
      <w:i/>
      <w:iCs/>
      <w:color w:val="2F5496" w:themeColor="accent5" w:themeShade="BF"/>
    </w:rPr>
  </w:style>
  <w:style w:type="character" w:customStyle="1" w:styleId="tlid-translation">
    <w:name w:val="tlid-translation"/>
    <w:basedOn w:val="DefaultParagraphFont"/>
    <w:rsid w:val="00516A12"/>
  </w:style>
  <w:style w:type="character" w:styleId="UnresolvedMention">
    <w:name w:val="Unresolved Mention"/>
    <w:basedOn w:val="DefaultParagraphFont"/>
    <w:uiPriority w:val="99"/>
    <w:semiHidden/>
    <w:unhideWhenUsed/>
    <w:rsid w:val="00806244"/>
    <w:rPr>
      <w:color w:val="605E5C"/>
      <w:shd w:val="clear" w:color="auto" w:fill="E1DFDD"/>
    </w:rPr>
  </w:style>
  <w:style w:type="character" w:customStyle="1" w:styleId="ListParagraphChar">
    <w:name w:val="List Paragraph Char"/>
    <w:aliases w:val="Bullet List Char,FooterText Char,List Paragraph1 Char,Colorful List Accent 1 Char,Colorful List - Accent 11 Char,Colorful List - Accent 111 Char"/>
    <w:basedOn w:val="DefaultParagraphFont"/>
    <w:link w:val="ListParagraph"/>
    <w:uiPriority w:val="34"/>
    <w:rsid w:val="00FE24E2"/>
    <w:rPr>
      <w:rFonts w:ascii="Arial" w:hAnsi="Arial" w:cs="Arial"/>
    </w:rPr>
  </w:style>
  <w:style w:type="paragraph" w:customStyle="1" w:styleId="Default">
    <w:name w:val="Default"/>
    <w:rsid w:val="0043339D"/>
    <w:pPr>
      <w:autoSpaceDE w:val="0"/>
      <w:autoSpaceDN w:val="0"/>
      <w:adjustRightInd w:val="0"/>
      <w:jc w:val="left"/>
    </w:pPr>
    <w:rPr>
      <w:rFonts w:ascii="Shaker 2 Lancet" w:hAnsi="Shaker 2 Lancet" w:cs="Shaker 2 Lancet"/>
      <w:color w:val="000000"/>
      <w:sz w:val="24"/>
      <w:szCs w:val="24"/>
    </w:rPr>
  </w:style>
  <w:style w:type="paragraph" w:styleId="Bibliography">
    <w:name w:val="Bibliography"/>
    <w:basedOn w:val="Normal"/>
    <w:next w:val="Normal"/>
    <w:uiPriority w:val="37"/>
    <w:unhideWhenUsed/>
    <w:rsid w:val="0043339D"/>
    <w:pPr>
      <w:spacing w:after="160" w:line="259" w:lineRule="auto"/>
      <w:jc w:val="left"/>
    </w:pPr>
    <w:rPr>
      <w:rFonts w:asciiTheme="minorHAnsi" w:hAnsiTheme="minorHAnsi" w:cstheme="minorBidi"/>
    </w:rPr>
  </w:style>
  <w:style w:type="character" w:customStyle="1" w:styleId="fm-vol-iss-date">
    <w:name w:val="fm-vol-iss-date"/>
    <w:basedOn w:val="DefaultParagraphFont"/>
    <w:rsid w:val="0043339D"/>
  </w:style>
  <w:style w:type="character" w:customStyle="1" w:styleId="doi">
    <w:name w:val="doi"/>
    <w:basedOn w:val="DefaultParagraphFont"/>
    <w:rsid w:val="0043339D"/>
  </w:style>
  <w:style w:type="paragraph" w:styleId="TOC3">
    <w:name w:val="toc 3"/>
    <w:basedOn w:val="Normal"/>
    <w:next w:val="Normal"/>
    <w:autoRedefine/>
    <w:uiPriority w:val="39"/>
    <w:unhideWhenUsed/>
    <w:rsid w:val="002C53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8046">
      <w:bodyDiv w:val="1"/>
      <w:marLeft w:val="0"/>
      <w:marRight w:val="0"/>
      <w:marTop w:val="0"/>
      <w:marBottom w:val="0"/>
      <w:divBdr>
        <w:top w:val="none" w:sz="0" w:space="0" w:color="auto"/>
        <w:left w:val="none" w:sz="0" w:space="0" w:color="auto"/>
        <w:bottom w:val="none" w:sz="0" w:space="0" w:color="auto"/>
        <w:right w:val="none" w:sz="0" w:space="0" w:color="auto"/>
      </w:divBdr>
    </w:div>
    <w:div w:id="95945625">
      <w:bodyDiv w:val="1"/>
      <w:marLeft w:val="0"/>
      <w:marRight w:val="0"/>
      <w:marTop w:val="0"/>
      <w:marBottom w:val="0"/>
      <w:divBdr>
        <w:top w:val="none" w:sz="0" w:space="0" w:color="auto"/>
        <w:left w:val="none" w:sz="0" w:space="0" w:color="auto"/>
        <w:bottom w:val="none" w:sz="0" w:space="0" w:color="auto"/>
        <w:right w:val="none" w:sz="0" w:space="0" w:color="auto"/>
      </w:divBdr>
    </w:div>
    <w:div w:id="139659622">
      <w:bodyDiv w:val="1"/>
      <w:marLeft w:val="0"/>
      <w:marRight w:val="0"/>
      <w:marTop w:val="0"/>
      <w:marBottom w:val="0"/>
      <w:divBdr>
        <w:top w:val="none" w:sz="0" w:space="0" w:color="auto"/>
        <w:left w:val="none" w:sz="0" w:space="0" w:color="auto"/>
        <w:bottom w:val="none" w:sz="0" w:space="0" w:color="auto"/>
        <w:right w:val="none" w:sz="0" w:space="0" w:color="auto"/>
      </w:divBdr>
    </w:div>
    <w:div w:id="185605488">
      <w:bodyDiv w:val="1"/>
      <w:marLeft w:val="0"/>
      <w:marRight w:val="0"/>
      <w:marTop w:val="0"/>
      <w:marBottom w:val="0"/>
      <w:divBdr>
        <w:top w:val="none" w:sz="0" w:space="0" w:color="auto"/>
        <w:left w:val="none" w:sz="0" w:space="0" w:color="auto"/>
        <w:bottom w:val="none" w:sz="0" w:space="0" w:color="auto"/>
        <w:right w:val="none" w:sz="0" w:space="0" w:color="auto"/>
      </w:divBdr>
    </w:div>
    <w:div w:id="198402530">
      <w:bodyDiv w:val="1"/>
      <w:marLeft w:val="0"/>
      <w:marRight w:val="0"/>
      <w:marTop w:val="0"/>
      <w:marBottom w:val="0"/>
      <w:divBdr>
        <w:top w:val="none" w:sz="0" w:space="0" w:color="auto"/>
        <w:left w:val="none" w:sz="0" w:space="0" w:color="auto"/>
        <w:bottom w:val="none" w:sz="0" w:space="0" w:color="auto"/>
        <w:right w:val="none" w:sz="0" w:space="0" w:color="auto"/>
      </w:divBdr>
    </w:div>
    <w:div w:id="209414586">
      <w:bodyDiv w:val="1"/>
      <w:marLeft w:val="0"/>
      <w:marRight w:val="0"/>
      <w:marTop w:val="0"/>
      <w:marBottom w:val="0"/>
      <w:divBdr>
        <w:top w:val="none" w:sz="0" w:space="0" w:color="auto"/>
        <w:left w:val="none" w:sz="0" w:space="0" w:color="auto"/>
        <w:bottom w:val="none" w:sz="0" w:space="0" w:color="auto"/>
        <w:right w:val="none" w:sz="0" w:space="0" w:color="auto"/>
      </w:divBdr>
    </w:div>
    <w:div w:id="277176885">
      <w:bodyDiv w:val="1"/>
      <w:marLeft w:val="0"/>
      <w:marRight w:val="0"/>
      <w:marTop w:val="0"/>
      <w:marBottom w:val="0"/>
      <w:divBdr>
        <w:top w:val="none" w:sz="0" w:space="0" w:color="auto"/>
        <w:left w:val="none" w:sz="0" w:space="0" w:color="auto"/>
        <w:bottom w:val="none" w:sz="0" w:space="0" w:color="auto"/>
        <w:right w:val="none" w:sz="0" w:space="0" w:color="auto"/>
      </w:divBdr>
    </w:div>
    <w:div w:id="345788105">
      <w:bodyDiv w:val="1"/>
      <w:marLeft w:val="0"/>
      <w:marRight w:val="0"/>
      <w:marTop w:val="0"/>
      <w:marBottom w:val="0"/>
      <w:divBdr>
        <w:top w:val="none" w:sz="0" w:space="0" w:color="auto"/>
        <w:left w:val="none" w:sz="0" w:space="0" w:color="auto"/>
        <w:bottom w:val="none" w:sz="0" w:space="0" w:color="auto"/>
        <w:right w:val="none" w:sz="0" w:space="0" w:color="auto"/>
      </w:divBdr>
      <w:divsChild>
        <w:div w:id="683945559">
          <w:marLeft w:val="1555"/>
          <w:marRight w:val="0"/>
          <w:marTop w:val="134"/>
          <w:marBottom w:val="0"/>
          <w:divBdr>
            <w:top w:val="none" w:sz="0" w:space="0" w:color="auto"/>
            <w:left w:val="none" w:sz="0" w:space="0" w:color="auto"/>
            <w:bottom w:val="none" w:sz="0" w:space="0" w:color="auto"/>
            <w:right w:val="none" w:sz="0" w:space="0" w:color="auto"/>
          </w:divBdr>
        </w:div>
        <w:div w:id="1748916132">
          <w:marLeft w:val="1555"/>
          <w:marRight w:val="0"/>
          <w:marTop w:val="134"/>
          <w:marBottom w:val="0"/>
          <w:divBdr>
            <w:top w:val="none" w:sz="0" w:space="0" w:color="auto"/>
            <w:left w:val="none" w:sz="0" w:space="0" w:color="auto"/>
            <w:bottom w:val="none" w:sz="0" w:space="0" w:color="auto"/>
            <w:right w:val="none" w:sz="0" w:space="0" w:color="auto"/>
          </w:divBdr>
        </w:div>
        <w:div w:id="979847952">
          <w:marLeft w:val="1555"/>
          <w:marRight w:val="0"/>
          <w:marTop w:val="134"/>
          <w:marBottom w:val="0"/>
          <w:divBdr>
            <w:top w:val="none" w:sz="0" w:space="0" w:color="auto"/>
            <w:left w:val="none" w:sz="0" w:space="0" w:color="auto"/>
            <w:bottom w:val="none" w:sz="0" w:space="0" w:color="auto"/>
            <w:right w:val="none" w:sz="0" w:space="0" w:color="auto"/>
          </w:divBdr>
        </w:div>
        <w:div w:id="1344281402">
          <w:marLeft w:val="1555"/>
          <w:marRight w:val="0"/>
          <w:marTop w:val="134"/>
          <w:marBottom w:val="0"/>
          <w:divBdr>
            <w:top w:val="none" w:sz="0" w:space="0" w:color="auto"/>
            <w:left w:val="none" w:sz="0" w:space="0" w:color="auto"/>
            <w:bottom w:val="none" w:sz="0" w:space="0" w:color="auto"/>
            <w:right w:val="none" w:sz="0" w:space="0" w:color="auto"/>
          </w:divBdr>
        </w:div>
      </w:divsChild>
    </w:div>
    <w:div w:id="522210007">
      <w:bodyDiv w:val="1"/>
      <w:marLeft w:val="0"/>
      <w:marRight w:val="0"/>
      <w:marTop w:val="0"/>
      <w:marBottom w:val="0"/>
      <w:divBdr>
        <w:top w:val="none" w:sz="0" w:space="0" w:color="auto"/>
        <w:left w:val="none" w:sz="0" w:space="0" w:color="auto"/>
        <w:bottom w:val="none" w:sz="0" w:space="0" w:color="auto"/>
        <w:right w:val="none" w:sz="0" w:space="0" w:color="auto"/>
      </w:divBdr>
      <w:divsChild>
        <w:div w:id="1624727129">
          <w:marLeft w:val="1555"/>
          <w:marRight w:val="0"/>
          <w:marTop w:val="134"/>
          <w:marBottom w:val="0"/>
          <w:divBdr>
            <w:top w:val="none" w:sz="0" w:space="0" w:color="auto"/>
            <w:left w:val="none" w:sz="0" w:space="0" w:color="auto"/>
            <w:bottom w:val="none" w:sz="0" w:space="0" w:color="auto"/>
            <w:right w:val="none" w:sz="0" w:space="0" w:color="auto"/>
          </w:divBdr>
        </w:div>
        <w:div w:id="1756900547">
          <w:marLeft w:val="1555"/>
          <w:marRight w:val="0"/>
          <w:marTop w:val="134"/>
          <w:marBottom w:val="0"/>
          <w:divBdr>
            <w:top w:val="none" w:sz="0" w:space="0" w:color="auto"/>
            <w:left w:val="none" w:sz="0" w:space="0" w:color="auto"/>
            <w:bottom w:val="none" w:sz="0" w:space="0" w:color="auto"/>
            <w:right w:val="none" w:sz="0" w:space="0" w:color="auto"/>
          </w:divBdr>
        </w:div>
        <w:div w:id="354423616">
          <w:marLeft w:val="1555"/>
          <w:marRight w:val="0"/>
          <w:marTop w:val="134"/>
          <w:marBottom w:val="0"/>
          <w:divBdr>
            <w:top w:val="none" w:sz="0" w:space="0" w:color="auto"/>
            <w:left w:val="none" w:sz="0" w:space="0" w:color="auto"/>
            <w:bottom w:val="none" w:sz="0" w:space="0" w:color="auto"/>
            <w:right w:val="none" w:sz="0" w:space="0" w:color="auto"/>
          </w:divBdr>
        </w:div>
        <w:div w:id="64227016">
          <w:marLeft w:val="1555"/>
          <w:marRight w:val="0"/>
          <w:marTop w:val="134"/>
          <w:marBottom w:val="0"/>
          <w:divBdr>
            <w:top w:val="none" w:sz="0" w:space="0" w:color="auto"/>
            <w:left w:val="none" w:sz="0" w:space="0" w:color="auto"/>
            <w:bottom w:val="none" w:sz="0" w:space="0" w:color="auto"/>
            <w:right w:val="none" w:sz="0" w:space="0" w:color="auto"/>
          </w:divBdr>
        </w:div>
      </w:divsChild>
    </w:div>
    <w:div w:id="610938110">
      <w:bodyDiv w:val="1"/>
      <w:marLeft w:val="0"/>
      <w:marRight w:val="0"/>
      <w:marTop w:val="0"/>
      <w:marBottom w:val="0"/>
      <w:divBdr>
        <w:top w:val="none" w:sz="0" w:space="0" w:color="auto"/>
        <w:left w:val="none" w:sz="0" w:space="0" w:color="auto"/>
        <w:bottom w:val="none" w:sz="0" w:space="0" w:color="auto"/>
        <w:right w:val="none" w:sz="0" w:space="0" w:color="auto"/>
      </w:divBdr>
    </w:div>
    <w:div w:id="625620627">
      <w:bodyDiv w:val="1"/>
      <w:marLeft w:val="0"/>
      <w:marRight w:val="0"/>
      <w:marTop w:val="0"/>
      <w:marBottom w:val="0"/>
      <w:divBdr>
        <w:top w:val="none" w:sz="0" w:space="0" w:color="auto"/>
        <w:left w:val="none" w:sz="0" w:space="0" w:color="auto"/>
        <w:bottom w:val="none" w:sz="0" w:space="0" w:color="auto"/>
        <w:right w:val="none" w:sz="0" w:space="0" w:color="auto"/>
      </w:divBdr>
      <w:divsChild>
        <w:div w:id="344289993">
          <w:marLeft w:val="720"/>
          <w:marRight w:val="0"/>
          <w:marTop w:val="0"/>
          <w:marBottom w:val="0"/>
          <w:divBdr>
            <w:top w:val="none" w:sz="0" w:space="0" w:color="auto"/>
            <w:left w:val="none" w:sz="0" w:space="0" w:color="auto"/>
            <w:bottom w:val="none" w:sz="0" w:space="0" w:color="auto"/>
            <w:right w:val="none" w:sz="0" w:space="0" w:color="auto"/>
          </w:divBdr>
        </w:div>
        <w:div w:id="527063260">
          <w:marLeft w:val="734"/>
          <w:marRight w:val="0"/>
          <w:marTop w:val="0"/>
          <w:marBottom w:val="0"/>
          <w:divBdr>
            <w:top w:val="none" w:sz="0" w:space="0" w:color="auto"/>
            <w:left w:val="none" w:sz="0" w:space="0" w:color="auto"/>
            <w:bottom w:val="none" w:sz="0" w:space="0" w:color="auto"/>
            <w:right w:val="none" w:sz="0" w:space="0" w:color="auto"/>
          </w:divBdr>
        </w:div>
      </w:divsChild>
    </w:div>
    <w:div w:id="690911994">
      <w:bodyDiv w:val="1"/>
      <w:marLeft w:val="0"/>
      <w:marRight w:val="0"/>
      <w:marTop w:val="0"/>
      <w:marBottom w:val="0"/>
      <w:divBdr>
        <w:top w:val="none" w:sz="0" w:space="0" w:color="auto"/>
        <w:left w:val="none" w:sz="0" w:space="0" w:color="auto"/>
        <w:bottom w:val="none" w:sz="0" w:space="0" w:color="auto"/>
        <w:right w:val="none" w:sz="0" w:space="0" w:color="auto"/>
      </w:divBdr>
    </w:div>
    <w:div w:id="695546589">
      <w:bodyDiv w:val="1"/>
      <w:marLeft w:val="0"/>
      <w:marRight w:val="0"/>
      <w:marTop w:val="0"/>
      <w:marBottom w:val="0"/>
      <w:divBdr>
        <w:top w:val="none" w:sz="0" w:space="0" w:color="auto"/>
        <w:left w:val="none" w:sz="0" w:space="0" w:color="auto"/>
        <w:bottom w:val="none" w:sz="0" w:space="0" w:color="auto"/>
        <w:right w:val="none" w:sz="0" w:space="0" w:color="auto"/>
      </w:divBdr>
      <w:divsChild>
        <w:div w:id="341052014">
          <w:marLeft w:val="1555"/>
          <w:marRight w:val="0"/>
          <w:marTop w:val="134"/>
          <w:marBottom w:val="0"/>
          <w:divBdr>
            <w:top w:val="none" w:sz="0" w:space="0" w:color="auto"/>
            <w:left w:val="none" w:sz="0" w:space="0" w:color="auto"/>
            <w:bottom w:val="none" w:sz="0" w:space="0" w:color="auto"/>
            <w:right w:val="none" w:sz="0" w:space="0" w:color="auto"/>
          </w:divBdr>
        </w:div>
        <w:div w:id="620723419">
          <w:marLeft w:val="1555"/>
          <w:marRight w:val="0"/>
          <w:marTop w:val="134"/>
          <w:marBottom w:val="0"/>
          <w:divBdr>
            <w:top w:val="none" w:sz="0" w:space="0" w:color="auto"/>
            <w:left w:val="none" w:sz="0" w:space="0" w:color="auto"/>
            <w:bottom w:val="none" w:sz="0" w:space="0" w:color="auto"/>
            <w:right w:val="none" w:sz="0" w:space="0" w:color="auto"/>
          </w:divBdr>
        </w:div>
        <w:div w:id="1453594215">
          <w:marLeft w:val="1555"/>
          <w:marRight w:val="0"/>
          <w:marTop w:val="134"/>
          <w:marBottom w:val="0"/>
          <w:divBdr>
            <w:top w:val="none" w:sz="0" w:space="0" w:color="auto"/>
            <w:left w:val="none" w:sz="0" w:space="0" w:color="auto"/>
            <w:bottom w:val="none" w:sz="0" w:space="0" w:color="auto"/>
            <w:right w:val="none" w:sz="0" w:space="0" w:color="auto"/>
          </w:divBdr>
        </w:div>
        <w:div w:id="1760637086">
          <w:marLeft w:val="1555"/>
          <w:marRight w:val="0"/>
          <w:marTop w:val="134"/>
          <w:marBottom w:val="0"/>
          <w:divBdr>
            <w:top w:val="none" w:sz="0" w:space="0" w:color="auto"/>
            <w:left w:val="none" w:sz="0" w:space="0" w:color="auto"/>
            <w:bottom w:val="none" w:sz="0" w:space="0" w:color="auto"/>
            <w:right w:val="none" w:sz="0" w:space="0" w:color="auto"/>
          </w:divBdr>
        </w:div>
      </w:divsChild>
    </w:div>
    <w:div w:id="800196396">
      <w:bodyDiv w:val="1"/>
      <w:marLeft w:val="0"/>
      <w:marRight w:val="0"/>
      <w:marTop w:val="0"/>
      <w:marBottom w:val="0"/>
      <w:divBdr>
        <w:top w:val="none" w:sz="0" w:space="0" w:color="auto"/>
        <w:left w:val="none" w:sz="0" w:space="0" w:color="auto"/>
        <w:bottom w:val="none" w:sz="0" w:space="0" w:color="auto"/>
        <w:right w:val="none" w:sz="0" w:space="0" w:color="auto"/>
      </w:divBdr>
    </w:div>
    <w:div w:id="953947201">
      <w:bodyDiv w:val="1"/>
      <w:marLeft w:val="0"/>
      <w:marRight w:val="0"/>
      <w:marTop w:val="0"/>
      <w:marBottom w:val="0"/>
      <w:divBdr>
        <w:top w:val="none" w:sz="0" w:space="0" w:color="auto"/>
        <w:left w:val="none" w:sz="0" w:space="0" w:color="auto"/>
        <w:bottom w:val="none" w:sz="0" w:space="0" w:color="auto"/>
        <w:right w:val="none" w:sz="0" w:space="0" w:color="auto"/>
      </w:divBdr>
      <w:divsChild>
        <w:div w:id="1508515283">
          <w:marLeft w:val="734"/>
          <w:marRight w:val="0"/>
          <w:marTop w:val="0"/>
          <w:marBottom w:val="0"/>
          <w:divBdr>
            <w:top w:val="none" w:sz="0" w:space="0" w:color="auto"/>
            <w:left w:val="none" w:sz="0" w:space="0" w:color="auto"/>
            <w:bottom w:val="none" w:sz="0" w:space="0" w:color="auto"/>
            <w:right w:val="none" w:sz="0" w:space="0" w:color="auto"/>
          </w:divBdr>
        </w:div>
      </w:divsChild>
    </w:div>
    <w:div w:id="1010916432">
      <w:bodyDiv w:val="1"/>
      <w:marLeft w:val="0"/>
      <w:marRight w:val="0"/>
      <w:marTop w:val="0"/>
      <w:marBottom w:val="0"/>
      <w:divBdr>
        <w:top w:val="none" w:sz="0" w:space="0" w:color="auto"/>
        <w:left w:val="none" w:sz="0" w:space="0" w:color="auto"/>
        <w:bottom w:val="none" w:sz="0" w:space="0" w:color="auto"/>
        <w:right w:val="none" w:sz="0" w:space="0" w:color="auto"/>
      </w:divBdr>
    </w:div>
    <w:div w:id="1032921753">
      <w:bodyDiv w:val="1"/>
      <w:marLeft w:val="0"/>
      <w:marRight w:val="0"/>
      <w:marTop w:val="0"/>
      <w:marBottom w:val="0"/>
      <w:divBdr>
        <w:top w:val="none" w:sz="0" w:space="0" w:color="auto"/>
        <w:left w:val="none" w:sz="0" w:space="0" w:color="auto"/>
        <w:bottom w:val="none" w:sz="0" w:space="0" w:color="auto"/>
        <w:right w:val="none" w:sz="0" w:space="0" w:color="auto"/>
      </w:divBdr>
    </w:div>
    <w:div w:id="1039937734">
      <w:bodyDiv w:val="1"/>
      <w:marLeft w:val="0"/>
      <w:marRight w:val="0"/>
      <w:marTop w:val="0"/>
      <w:marBottom w:val="0"/>
      <w:divBdr>
        <w:top w:val="none" w:sz="0" w:space="0" w:color="auto"/>
        <w:left w:val="none" w:sz="0" w:space="0" w:color="auto"/>
        <w:bottom w:val="none" w:sz="0" w:space="0" w:color="auto"/>
        <w:right w:val="none" w:sz="0" w:space="0" w:color="auto"/>
      </w:divBdr>
    </w:div>
    <w:div w:id="1215971183">
      <w:bodyDiv w:val="1"/>
      <w:marLeft w:val="0"/>
      <w:marRight w:val="0"/>
      <w:marTop w:val="0"/>
      <w:marBottom w:val="0"/>
      <w:divBdr>
        <w:top w:val="none" w:sz="0" w:space="0" w:color="auto"/>
        <w:left w:val="none" w:sz="0" w:space="0" w:color="auto"/>
        <w:bottom w:val="none" w:sz="0" w:space="0" w:color="auto"/>
        <w:right w:val="none" w:sz="0" w:space="0" w:color="auto"/>
      </w:divBdr>
    </w:div>
    <w:div w:id="1283534876">
      <w:bodyDiv w:val="1"/>
      <w:marLeft w:val="0"/>
      <w:marRight w:val="0"/>
      <w:marTop w:val="0"/>
      <w:marBottom w:val="0"/>
      <w:divBdr>
        <w:top w:val="none" w:sz="0" w:space="0" w:color="auto"/>
        <w:left w:val="none" w:sz="0" w:space="0" w:color="auto"/>
        <w:bottom w:val="none" w:sz="0" w:space="0" w:color="auto"/>
        <w:right w:val="none" w:sz="0" w:space="0" w:color="auto"/>
      </w:divBdr>
    </w:div>
    <w:div w:id="1383401537">
      <w:bodyDiv w:val="1"/>
      <w:marLeft w:val="0"/>
      <w:marRight w:val="0"/>
      <w:marTop w:val="0"/>
      <w:marBottom w:val="0"/>
      <w:divBdr>
        <w:top w:val="none" w:sz="0" w:space="0" w:color="auto"/>
        <w:left w:val="none" w:sz="0" w:space="0" w:color="auto"/>
        <w:bottom w:val="none" w:sz="0" w:space="0" w:color="auto"/>
        <w:right w:val="none" w:sz="0" w:space="0" w:color="auto"/>
      </w:divBdr>
      <w:divsChild>
        <w:div w:id="1930188798">
          <w:marLeft w:val="1555"/>
          <w:marRight w:val="0"/>
          <w:marTop w:val="134"/>
          <w:marBottom w:val="0"/>
          <w:divBdr>
            <w:top w:val="none" w:sz="0" w:space="0" w:color="auto"/>
            <w:left w:val="none" w:sz="0" w:space="0" w:color="auto"/>
            <w:bottom w:val="none" w:sz="0" w:space="0" w:color="auto"/>
            <w:right w:val="none" w:sz="0" w:space="0" w:color="auto"/>
          </w:divBdr>
        </w:div>
        <w:div w:id="582958950">
          <w:marLeft w:val="1555"/>
          <w:marRight w:val="0"/>
          <w:marTop w:val="134"/>
          <w:marBottom w:val="0"/>
          <w:divBdr>
            <w:top w:val="none" w:sz="0" w:space="0" w:color="auto"/>
            <w:left w:val="none" w:sz="0" w:space="0" w:color="auto"/>
            <w:bottom w:val="none" w:sz="0" w:space="0" w:color="auto"/>
            <w:right w:val="none" w:sz="0" w:space="0" w:color="auto"/>
          </w:divBdr>
        </w:div>
        <w:div w:id="48772966">
          <w:marLeft w:val="1555"/>
          <w:marRight w:val="0"/>
          <w:marTop w:val="134"/>
          <w:marBottom w:val="0"/>
          <w:divBdr>
            <w:top w:val="none" w:sz="0" w:space="0" w:color="auto"/>
            <w:left w:val="none" w:sz="0" w:space="0" w:color="auto"/>
            <w:bottom w:val="none" w:sz="0" w:space="0" w:color="auto"/>
            <w:right w:val="none" w:sz="0" w:space="0" w:color="auto"/>
          </w:divBdr>
        </w:div>
      </w:divsChild>
    </w:div>
    <w:div w:id="1401755318">
      <w:bodyDiv w:val="1"/>
      <w:marLeft w:val="0"/>
      <w:marRight w:val="0"/>
      <w:marTop w:val="0"/>
      <w:marBottom w:val="0"/>
      <w:divBdr>
        <w:top w:val="none" w:sz="0" w:space="0" w:color="auto"/>
        <w:left w:val="none" w:sz="0" w:space="0" w:color="auto"/>
        <w:bottom w:val="none" w:sz="0" w:space="0" w:color="auto"/>
        <w:right w:val="none" w:sz="0" w:space="0" w:color="auto"/>
      </w:divBdr>
    </w:div>
    <w:div w:id="1463500652">
      <w:bodyDiv w:val="1"/>
      <w:marLeft w:val="0"/>
      <w:marRight w:val="0"/>
      <w:marTop w:val="0"/>
      <w:marBottom w:val="0"/>
      <w:divBdr>
        <w:top w:val="none" w:sz="0" w:space="0" w:color="auto"/>
        <w:left w:val="none" w:sz="0" w:space="0" w:color="auto"/>
        <w:bottom w:val="none" w:sz="0" w:space="0" w:color="auto"/>
        <w:right w:val="none" w:sz="0" w:space="0" w:color="auto"/>
      </w:divBdr>
    </w:div>
    <w:div w:id="1547985123">
      <w:bodyDiv w:val="1"/>
      <w:marLeft w:val="0"/>
      <w:marRight w:val="0"/>
      <w:marTop w:val="0"/>
      <w:marBottom w:val="0"/>
      <w:divBdr>
        <w:top w:val="none" w:sz="0" w:space="0" w:color="auto"/>
        <w:left w:val="none" w:sz="0" w:space="0" w:color="auto"/>
        <w:bottom w:val="none" w:sz="0" w:space="0" w:color="auto"/>
        <w:right w:val="none" w:sz="0" w:space="0" w:color="auto"/>
      </w:divBdr>
    </w:div>
    <w:div w:id="1551838548">
      <w:bodyDiv w:val="1"/>
      <w:marLeft w:val="0"/>
      <w:marRight w:val="0"/>
      <w:marTop w:val="0"/>
      <w:marBottom w:val="0"/>
      <w:divBdr>
        <w:top w:val="none" w:sz="0" w:space="0" w:color="auto"/>
        <w:left w:val="none" w:sz="0" w:space="0" w:color="auto"/>
        <w:bottom w:val="none" w:sz="0" w:space="0" w:color="auto"/>
        <w:right w:val="none" w:sz="0" w:space="0" w:color="auto"/>
      </w:divBdr>
    </w:div>
    <w:div w:id="1622609598">
      <w:bodyDiv w:val="1"/>
      <w:marLeft w:val="0"/>
      <w:marRight w:val="0"/>
      <w:marTop w:val="0"/>
      <w:marBottom w:val="0"/>
      <w:divBdr>
        <w:top w:val="none" w:sz="0" w:space="0" w:color="auto"/>
        <w:left w:val="none" w:sz="0" w:space="0" w:color="auto"/>
        <w:bottom w:val="none" w:sz="0" w:space="0" w:color="auto"/>
        <w:right w:val="none" w:sz="0" w:space="0" w:color="auto"/>
      </w:divBdr>
    </w:div>
    <w:div w:id="1662081960">
      <w:bodyDiv w:val="1"/>
      <w:marLeft w:val="0"/>
      <w:marRight w:val="0"/>
      <w:marTop w:val="0"/>
      <w:marBottom w:val="0"/>
      <w:divBdr>
        <w:top w:val="none" w:sz="0" w:space="0" w:color="auto"/>
        <w:left w:val="none" w:sz="0" w:space="0" w:color="auto"/>
        <w:bottom w:val="none" w:sz="0" w:space="0" w:color="auto"/>
        <w:right w:val="none" w:sz="0" w:space="0" w:color="auto"/>
      </w:divBdr>
      <w:divsChild>
        <w:div w:id="784812016">
          <w:marLeft w:val="1368"/>
          <w:marRight w:val="0"/>
          <w:marTop w:val="0"/>
          <w:marBottom w:val="0"/>
          <w:divBdr>
            <w:top w:val="none" w:sz="0" w:space="0" w:color="auto"/>
            <w:left w:val="none" w:sz="0" w:space="0" w:color="auto"/>
            <w:bottom w:val="none" w:sz="0" w:space="0" w:color="auto"/>
            <w:right w:val="none" w:sz="0" w:space="0" w:color="auto"/>
          </w:divBdr>
        </w:div>
      </w:divsChild>
    </w:div>
    <w:div w:id="1715153182">
      <w:bodyDiv w:val="1"/>
      <w:marLeft w:val="0"/>
      <w:marRight w:val="0"/>
      <w:marTop w:val="0"/>
      <w:marBottom w:val="0"/>
      <w:divBdr>
        <w:top w:val="none" w:sz="0" w:space="0" w:color="auto"/>
        <w:left w:val="none" w:sz="0" w:space="0" w:color="auto"/>
        <w:bottom w:val="none" w:sz="0" w:space="0" w:color="auto"/>
        <w:right w:val="none" w:sz="0" w:space="0" w:color="auto"/>
      </w:divBdr>
    </w:div>
    <w:div w:id="1743336532">
      <w:bodyDiv w:val="1"/>
      <w:marLeft w:val="0"/>
      <w:marRight w:val="0"/>
      <w:marTop w:val="0"/>
      <w:marBottom w:val="0"/>
      <w:divBdr>
        <w:top w:val="none" w:sz="0" w:space="0" w:color="auto"/>
        <w:left w:val="none" w:sz="0" w:space="0" w:color="auto"/>
        <w:bottom w:val="none" w:sz="0" w:space="0" w:color="auto"/>
        <w:right w:val="none" w:sz="0" w:space="0" w:color="auto"/>
      </w:divBdr>
      <w:divsChild>
        <w:div w:id="1187061597">
          <w:marLeft w:val="1555"/>
          <w:marRight w:val="0"/>
          <w:marTop w:val="134"/>
          <w:marBottom w:val="0"/>
          <w:divBdr>
            <w:top w:val="none" w:sz="0" w:space="0" w:color="auto"/>
            <w:left w:val="none" w:sz="0" w:space="0" w:color="auto"/>
            <w:bottom w:val="none" w:sz="0" w:space="0" w:color="auto"/>
            <w:right w:val="none" w:sz="0" w:space="0" w:color="auto"/>
          </w:divBdr>
        </w:div>
        <w:div w:id="1955473862">
          <w:marLeft w:val="1555"/>
          <w:marRight w:val="0"/>
          <w:marTop w:val="134"/>
          <w:marBottom w:val="0"/>
          <w:divBdr>
            <w:top w:val="none" w:sz="0" w:space="0" w:color="auto"/>
            <w:left w:val="none" w:sz="0" w:space="0" w:color="auto"/>
            <w:bottom w:val="none" w:sz="0" w:space="0" w:color="auto"/>
            <w:right w:val="none" w:sz="0" w:space="0" w:color="auto"/>
          </w:divBdr>
        </w:div>
        <w:div w:id="181435110">
          <w:marLeft w:val="1555"/>
          <w:marRight w:val="0"/>
          <w:marTop w:val="134"/>
          <w:marBottom w:val="0"/>
          <w:divBdr>
            <w:top w:val="none" w:sz="0" w:space="0" w:color="auto"/>
            <w:left w:val="none" w:sz="0" w:space="0" w:color="auto"/>
            <w:bottom w:val="none" w:sz="0" w:space="0" w:color="auto"/>
            <w:right w:val="none" w:sz="0" w:space="0" w:color="auto"/>
          </w:divBdr>
        </w:div>
        <w:div w:id="1420714952">
          <w:marLeft w:val="1555"/>
          <w:marRight w:val="0"/>
          <w:marTop w:val="134"/>
          <w:marBottom w:val="0"/>
          <w:divBdr>
            <w:top w:val="none" w:sz="0" w:space="0" w:color="auto"/>
            <w:left w:val="none" w:sz="0" w:space="0" w:color="auto"/>
            <w:bottom w:val="none" w:sz="0" w:space="0" w:color="auto"/>
            <w:right w:val="none" w:sz="0" w:space="0" w:color="auto"/>
          </w:divBdr>
        </w:div>
        <w:div w:id="57173857">
          <w:marLeft w:val="1555"/>
          <w:marRight w:val="0"/>
          <w:marTop w:val="134"/>
          <w:marBottom w:val="0"/>
          <w:divBdr>
            <w:top w:val="none" w:sz="0" w:space="0" w:color="auto"/>
            <w:left w:val="none" w:sz="0" w:space="0" w:color="auto"/>
            <w:bottom w:val="none" w:sz="0" w:space="0" w:color="auto"/>
            <w:right w:val="none" w:sz="0" w:space="0" w:color="auto"/>
          </w:divBdr>
        </w:div>
        <w:div w:id="215750480">
          <w:marLeft w:val="1555"/>
          <w:marRight w:val="0"/>
          <w:marTop w:val="134"/>
          <w:marBottom w:val="0"/>
          <w:divBdr>
            <w:top w:val="none" w:sz="0" w:space="0" w:color="auto"/>
            <w:left w:val="none" w:sz="0" w:space="0" w:color="auto"/>
            <w:bottom w:val="none" w:sz="0" w:space="0" w:color="auto"/>
            <w:right w:val="none" w:sz="0" w:space="0" w:color="auto"/>
          </w:divBdr>
        </w:div>
      </w:divsChild>
    </w:div>
    <w:div w:id="1879276336">
      <w:bodyDiv w:val="1"/>
      <w:marLeft w:val="0"/>
      <w:marRight w:val="0"/>
      <w:marTop w:val="0"/>
      <w:marBottom w:val="0"/>
      <w:divBdr>
        <w:top w:val="none" w:sz="0" w:space="0" w:color="auto"/>
        <w:left w:val="none" w:sz="0" w:space="0" w:color="auto"/>
        <w:bottom w:val="none" w:sz="0" w:space="0" w:color="auto"/>
        <w:right w:val="none" w:sz="0" w:space="0" w:color="auto"/>
      </w:divBdr>
    </w:div>
    <w:div w:id="2091000293">
      <w:bodyDiv w:val="1"/>
      <w:marLeft w:val="0"/>
      <w:marRight w:val="0"/>
      <w:marTop w:val="0"/>
      <w:marBottom w:val="0"/>
      <w:divBdr>
        <w:top w:val="none" w:sz="0" w:space="0" w:color="auto"/>
        <w:left w:val="none" w:sz="0" w:space="0" w:color="auto"/>
        <w:bottom w:val="none" w:sz="0" w:space="0" w:color="auto"/>
        <w:right w:val="none" w:sz="0" w:space="0" w:color="auto"/>
      </w:divBdr>
    </w:div>
    <w:div w:id="2122869951">
      <w:bodyDiv w:val="1"/>
      <w:marLeft w:val="0"/>
      <w:marRight w:val="0"/>
      <w:marTop w:val="0"/>
      <w:marBottom w:val="0"/>
      <w:divBdr>
        <w:top w:val="none" w:sz="0" w:space="0" w:color="auto"/>
        <w:left w:val="none" w:sz="0" w:space="0" w:color="auto"/>
        <w:bottom w:val="none" w:sz="0" w:space="0" w:color="auto"/>
        <w:right w:val="none" w:sz="0" w:space="0" w:color="auto"/>
      </w:divBdr>
      <w:divsChild>
        <w:div w:id="16978054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hyperlink" Target="https://www.ncbi.nlm.nih.gov/pubmed/?term=Lee%20Y%5BAuthor%5D&amp;cauthor=true&amp;cauthor_uid=30889188" TargetMode="External"/><Relationship Id="rId39" Type="http://schemas.openxmlformats.org/officeDocument/2006/relationships/fontTable" Target="fontTable.xml"/><Relationship Id="rId21" Type="http://schemas.openxmlformats.org/officeDocument/2006/relationships/hyperlink" Target="http://dx.doi.org/10.22037/sdh.v6i1.33678" TargetMode="External"/><Relationship Id="rId34" Type="http://schemas.openxmlformats.org/officeDocument/2006/relationships/hyperlink" Target="https://www.ncbi.nlm.nih.gov/pubmed/?term=Gaziano%20TA%5BAuthor%5D&amp;cauthor=true&amp;cauthor_uid=30889188" TargetMode="Externa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hyperlink" Target="http://www.who.int/topics/sustainable-development-goals/en" TargetMode="External"/><Relationship Id="rId33" Type="http://schemas.openxmlformats.org/officeDocument/2006/relationships/hyperlink" Target="https://www.ncbi.nlm.nih.gov/pubmed/?term=Jardim%20Td%5BAuthor%5D&amp;cauthor=true&amp;cauthor_uid=30889188"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journals.sagepub.com/doi/pdf/10.1177/2164956118791955" TargetMode="External"/><Relationship Id="rId29" Type="http://schemas.openxmlformats.org/officeDocument/2006/relationships/hyperlink" Target="https://www.ncbi.nlm.nih.gov/pubmed/?term=Huang%20Y%5BAuthor%5D&amp;cauthor=true&amp;cauthor_uid=30889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n.org/millenniumgoals/2015_MDG_Report/pdf/MDG%202015%20rev%20(July%201)" TargetMode="External"/><Relationship Id="rId32" Type="http://schemas.openxmlformats.org/officeDocument/2006/relationships/hyperlink" Target="https://www.ncbi.nlm.nih.gov/pubmed/?term=Abrahams-Gessel%20S%5BAuthor%5D&amp;cauthor=true&amp;cauthor_uid=30889188" TargetMode="External"/><Relationship Id="rId37" Type="http://schemas.openxmlformats.org/officeDocument/2006/relationships/hyperlink" Target="https://dx.doi.org/10.1371%2Fjournal.pmed.100276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sustainabledevelopment.un.org/post2015/transformingourworld" TargetMode="External"/><Relationship Id="rId28" Type="http://schemas.openxmlformats.org/officeDocument/2006/relationships/hyperlink" Target="https://www.ncbi.nlm.nih.gov/pubmed/?term=Sy%20S%5BAuthor%5D&amp;cauthor=true&amp;cauthor_uid=30889188" TargetMode="External"/><Relationship Id="rId36" Type="http://schemas.openxmlformats.org/officeDocument/2006/relationships/hyperlink" Target="https://www.ncbi.nlm.nih.gov/pmc/articles/PMC6424388/" TargetMode="External"/><Relationship Id="rId10" Type="http://schemas.openxmlformats.org/officeDocument/2006/relationships/customXml" Target="ink/ink2.xml"/><Relationship Id="rId19" Type="http://schemas.openxmlformats.org/officeDocument/2006/relationships/hyperlink" Target="https://apps.who.int/iris/bitstream/handle/10665/43943/9789241563703_eng.pdf" TargetMode="External"/><Relationship Id="rId31" Type="http://schemas.openxmlformats.org/officeDocument/2006/relationships/hyperlink" Target="https://www.ncbi.nlm.nih.gov/pubmed/?term=Wilde%20PE%5BAuthor%5D&amp;cauthor=true&amp;cauthor_uid=3088918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doi.org/" TargetMode="External"/><Relationship Id="rId27" Type="http://schemas.openxmlformats.org/officeDocument/2006/relationships/hyperlink" Target="https://www.ncbi.nlm.nih.gov/pubmed/?term=Mozaffarian%20D%5BAuthor%5D&amp;cauthor=true&amp;cauthor_uid=30889188" TargetMode="External"/><Relationship Id="rId30" Type="http://schemas.openxmlformats.org/officeDocument/2006/relationships/hyperlink" Target="https://www.ncbi.nlm.nih.gov/pubmed/?term=Liu%20J%5BAuthor%5D&amp;cauthor=true&amp;cauthor_uid=30889188" TargetMode="External"/><Relationship Id="rId35" Type="http://schemas.openxmlformats.org/officeDocument/2006/relationships/hyperlink" Target="https://www.ncbi.nlm.nih.gov/pubmed/?term=Micha%20R%5BAuthor%5D&amp;cauthor=true&amp;cauthor_uid=30889188" TargetMode="External"/><Relationship Id="rId8" Type="http://schemas.openxmlformats.org/officeDocument/2006/relationships/customXml" Target="ink/ink1.xml"/><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5T11:04:04.230"/>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trace contextRef="#ctx0" brushRef="#br0" timeOffset="437.91">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5T11:04:03.18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5T11:04:02.16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6A46-040C-44EB-856C-30FA497A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45</Pages>
  <Words>15389</Words>
  <Characters>87722</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Sherine Shawky</dc:creator>
  <cp:keywords/>
  <dc:description/>
  <cp:lastModifiedBy>Sherine</cp:lastModifiedBy>
  <cp:revision>118</cp:revision>
  <cp:lastPrinted>2021-08-22T11:14:00Z</cp:lastPrinted>
  <dcterms:created xsi:type="dcterms:W3CDTF">2021-09-20T11:14:00Z</dcterms:created>
  <dcterms:modified xsi:type="dcterms:W3CDTF">2022-02-16T11:09:00Z</dcterms:modified>
</cp:coreProperties>
</file>