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E05AA" w14:textId="77777777" w:rsidR="009168FF" w:rsidRDefault="009168FF" w:rsidP="00BE5792">
      <w:pPr>
        <w:pStyle w:val="Title"/>
        <w:jc w:val="center"/>
      </w:pPr>
    </w:p>
    <w:p w14:paraId="41AC0820" w14:textId="77777777" w:rsidR="00586465" w:rsidRPr="00100A47" w:rsidRDefault="00586465" w:rsidP="00586465">
      <w:pPr>
        <w:pStyle w:val="Title"/>
        <w:jc w:val="center"/>
        <w:rPr>
          <w:b/>
          <w:bCs/>
          <w:sz w:val="40"/>
          <w:szCs w:val="40"/>
        </w:rPr>
      </w:pPr>
      <w:r w:rsidRPr="00100A47">
        <w:rPr>
          <w:b/>
          <w:bCs/>
          <w:sz w:val="40"/>
          <w:szCs w:val="40"/>
        </w:rPr>
        <w:t>Aging</w:t>
      </w:r>
      <w:r w:rsidR="000C77DB" w:rsidRPr="00100A47">
        <w:rPr>
          <w:b/>
          <w:bCs/>
          <w:sz w:val="40"/>
          <w:szCs w:val="40"/>
        </w:rPr>
        <w:t xml:space="preserve"> in the Arab region: </w:t>
      </w:r>
    </w:p>
    <w:p w14:paraId="7FC08465" w14:textId="7A327A04" w:rsidR="00AC4182" w:rsidRPr="00100A47" w:rsidRDefault="004B4086" w:rsidP="00586465">
      <w:pPr>
        <w:pStyle w:val="Title"/>
        <w:jc w:val="center"/>
        <w:rPr>
          <w:b/>
          <w:bCs/>
          <w:sz w:val="40"/>
          <w:szCs w:val="40"/>
        </w:rPr>
      </w:pPr>
      <w:r w:rsidRPr="00100A47">
        <w:rPr>
          <w:b/>
          <w:bCs/>
          <w:sz w:val="40"/>
          <w:szCs w:val="40"/>
        </w:rPr>
        <w:t>Realizing the potential</w:t>
      </w:r>
      <w:r w:rsidR="00D37AD1" w:rsidRPr="00100A47">
        <w:rPr>
          <w:b/>
          <w:bCs/>
          <w:sz w:val="40"/>
          <w:szCs w:val="40"/>
        </w:rPr>
        <w:t>s</w:t>
      </w:r>
      <w:r w:rsidRPr="00100A47">
        <w:rPr>
          <w:b/>
          <w:bCs/>
          <w:sz w:val="40"/>
          <w:szCs w:val="40"/>
        </w:rPr>
        <w:t xml:space="preserve"> of the second demographic dividend</w:t>
      </w:r>
    </w:p>
    <w:p w14:paraId="0BF56D9E" w14:textId="77777777" w:rsidR="000C77DB" w:rsidRDefault="000C77DB" w:rsidP="000C77DB">
      <w:bookmarkStart w:id="0" w:name="_GoBack"/>
      <w:bookmarkEnd w:id="0"/>
    </w:p>
    <w:p w14:paraId="617AEE42" w14:textId="77777777" w:rsidR="000C77DB" w:rsidRPr="00C5709E" w:rsidRDefault="000C77DB" w:rsidP="008D1458">
      <w:pPr>
        <w:pStyle w:val="Heading1"/>
        <w:rPr>
          <w:b/>
          <w:bCs/>
        </w:rPr>
      </w:pPr>
      <w:r w:rsidRPr="00C5709E">
        <w:rPr>
          <w:b/>
          <w:bCs/>
        </w:rPr>
        <w:t xml:space="preserve">Introduction:  </w:t>
      </w:r>
    </w:p>
    <w:p w14:paraId="10890052" w14:textId="7D69AF30" w:rsidR="00D35CCB" w:rsidRDefault="0049505B" w:rsidP="00207962">
      <w:pPr>
        <w:jc w:val="both"/>
      </w:pPr>
      <w:r>
        <w:t xml:space="preserve">Rapidly falling fertility levels accompanied with declines in mortality levels and prolonged life expectancies are contributing to substantial changes in the age structures of many developing countries.  </w:t>
      </w:r>
      <w:r w:rsidR="00C72F67">
        <w:t>As a starter, m</w:t>
      </w:r>
      <w:r>
        <w:t xml:space="preserve">any countries </w:t>
      </w:r>
      <w:r w:rsidR="00A46126">
        <w:t xml:space="preserve">will experience </w:t>
      </w:r>
      <w:r>
        <w:t xml:space="preserve">a youth </w:t>
      </w:r>
      <w:r w:rsidR="000748D6">
        <w:t>bulge</w:t>
      </w:r>
      <w:r w:rsidR="00A46126">
        <w:t xml:space="preserve"> that </w:t>
      </w:r>
      <w:r w:rsidR="00C5709E">
        <w:t>if appropriately</w:t>
      </w:r>
      <w:r w:rsidR="000748D6">
        <w:t xml:space="preserve"> employed within a supportive and enabling policy environment, becomes a demographic dividend that contributes to the country’s econ</w:t>
      </w:r>
      <w:r w:rsidR="00D00D28">
        <w:t>omic growth. A</w:t>
      </w:r>
      <w:r w:rsidR="000748D6">
        <w:t>s the youth bulge enters their old age, developing countries are projected to encompass substantially large cohorts of older persons</w:t>
      </w:r>
      <w:r w:rsidR="00241304">
        <w:t>,</w:t>
      </w:r>
      <w:r w:rsidR="00241304" w:rsidRPr="00241304">
        <w:t xml:space="preserve"> </w:t>
      </w:r>
      <w:r w:rsidR="00241304">
        <w:t xml:space="preserve">which is commonly referred to a </w:t>
      </w:r>
      <w:r w:rsidR="00A46126">
        <w:t>large greying generation</w:t>
      </w:r>
      <w:r w:rsidR="000748D6">
        <w:t>.  Many studies indicate that these large cohorts of older persons</w:t>
      </w:r>
      <w:r w:rsidR="00D35CCB">
        <w:t xml:space="preserve"> </w:t>
      </w:r>
      <w:r w:rsidR="000748D6">
        <w:t>can constitute a second demographic dividend if countries appropriately prepare for their</w:t>
      </w:r>
      <w:r w:rsidR="00453094">
        <w:t xml:space="preserve"> </w:t>
      </w:r>
      <w:r w:rsidR="00D00D28">
        <w:t>occurrence</w:t>
      </w:r>
      <w:r w:rsidR="00453094">
        <w:t xml:space="preserve">. </w:t>
      </w:r>
    </w:p>
    <w:p w14:paraId="502B5F91" w14:textId="090095C9" w:rsidR="00A46126" w:rsidRDefault="00453094" w:rsidP="00207962">
      <w:pPr>
        <w:jc w:val="both"/>
      </w:pPr>
      <w:r>
        <w:t>Concerns for t</w:t>
      </w:r>
      <w:r w:rsidR="000748D6">
        <w:t>he emergence of the</w:t>
      </w:r>
      <w:r>
        <w:t xml:space="preserve"> older persons’ large cohorts </w:t>
      </w:r>
      <w:r w:rsidR="00A46126">
        <w:t>soon</w:t>
      </w:r>
      <w:r>
        <w:t xml:space="preserve"> have contributed to research efforts that attempt to identify the different options and scenarios for </w:t>
      </w:r>
      <w:r w:rsidR="000748D6">
        <w:t>polic</w:t>
      </w:r>
      <w:r>
        <w:t xml:space="preserve">y and strategic interventions in preparation for their emergence.  </w:t>
      </w:r>
    </w:p>
    <w:p w14:paraId="06DC32DC" w14:textId="1C56184F" w:rsidR="00BE2D44" w:rsidRDefault="00A46126" w:rsidP="00207962">
      <w:pPr>
        <w:jc w:val="both"/>
      </w:pPr>
      <w:r>
        <w:t xml:space="preserve">Research has </w:t>
      </w:r>
      <w:r w:rsidR="00453094">
        <w:t>two main directions</w:t>
      </w:r>
      <w:r w:rsidR="00207962">
        <w:t>:</w:t>
      </w:r>
      <w:r w:rsidR="00453094">
        <w:t xml:space="preserve"> </w:t>
      </w:r>
    </w:p>
    <w:p w14:paraId="64FC8AEB" w14:textId="681301C8" w:rsidR="0049505B" w:rsidRDefault="00BE2D44" w:rsidP="00207962">
      <w:pPr>
        <w:jc w:val="both"/>
      </w:pPr>
      <w:r>
        <w:t>T</w:t>
      </w:r>
      <w:r w:rsidR="00453094">
        <w:t xml:space="preserve">he first is the social </w:t>
      </w:r>
      <w:r w:rsidR="00D00D28">
        <w:t>direction</w:t>
      </w:r>
      <w:r>
        <w:t xml:space="preserve">: This </w:t>
      </w:r>
      <w:r w:rsidR="00D00D28">
        <w:t>direction</w:t>
      </w:r>
      <w:r w:rsidR="00453094">
        <w:t xml:space="preserve"> </w:t>
      </w:r>
      <w:r w:rsidR="00A46126">
        <w:t xml:space="preserve">starts </w:t>
      </w:r>
      <w:r w:rsidR="00453094">
        <w:t>with the</w:t>
      </w:r>
      <w:r w:rsidR="00D00D28">
        <w:t xml:space="preserve"> welfare model targeting the basic livelihood needs of the</w:t>
      </w:r>
      <w:r w:rsidR="00453094">
        <w:t xml:space="preserve"> older </w:t>
      </w:r>
      <w:r w:rsidR="00C3711C">
        <w:t>population. At its early stages, it explored different dimensions of the older persons’ lives</w:t>
      </w:r>
      <w:r w:rsidR="00D00D28">
        <w:t xml:space="preserve"> and recommend actions across</w:t>
      </w:r>
      <w:r w:rsidR="00C3711C">
        <w:t xml:space="preserve"> separate silos.  However, </w:t>
      </w:r>
      <w:r w:rsidR="00241304">
        <w:t xml:space="preserve">over the </w:t>
      </w:r>
      <w:r w:rsidR="00D00D28">
        <w:t>more recent</w:t>
      </w:r>
      <w:r w:rsidR="00241304">
        <w:t xml:space="preserve"> decades, the human right</w:t>
      </w:r>
      <w:r w:rsidR="00C94C81">
        <w:t>s-</w:t>
      </w:r>
      <w:r w:rsidR="00241304">
        <w:t>based perspective of older persons’ wellbeing have gained substantial weight in the research and policy arena</w:t>
      </w:r>
      <w:r w:rsidR="00D00D28">
        <w:t xml:space="preserve">.  This perspective </w:t>
      </w:r>
      <w:r w:rsidR="00241304">
        <w:t xml:space="preserve">was well articulated in many of the national, regional and international policy documents. </w:t>
      </w:r>
      <w:r w:rsidR="00224D4D">
        <w:t xml:space="preserve">It aims to secure the older population enjoyment of their full human rights in all their diversity and for the duty bearer to fulfill their commitment towards securing these rights.  Enjoying full human rights in old age entails </w:t>
      </w:r>
      <w:r w:rsidR="00241304">
        <w:t xml:space="preserve">a general framework toward </w:t>
      </w:r>
      <w:r w:rsidR="007A07ED">
        <w:t xml:space="preserve">a comprehensive and inclusive approach to older </w:t>
      </w:r>
      <w:r w:rsidR="003F59CC">
        <w:t xml:space="preserve">persons’ wellbeing.  This framework identified </w:t>
      </w:r>
      <w:r w:rsidR="007A07ED">
        <w:t xml:space="preserve">the main pillars that need to be addressed for older persons to enjoy their full lives and contribute effectively to their communities’ as well as country’s welfare.  These pillars </w:t>
      </w:r>
      <w:r w:rsidR="00C94C81">
        <w:t>cover</w:t>
      </w:r>
      <w:r w:rsidR="007A07ED">
        <w:t xml:space="preserve"> ten basic dimensions of older persons’ lives and activities including equality and non-discrimination, autonomy, freedom from violence, abuse and neglect, care and support for independent living, health</w:t>
      </w:r>
      <w:r w:rsidR="000F0029">
        <w:t xml:space="preserve"> and disability</w:t>
      </w:r>
      <w:r w:rsidR="007A07ED">
        <w:t xml:space="preserve">, access to justice, social protection and social security, work, education and life-long learning, and participation in society.   </w:t>
      </w:r>
    </w:p>
    <w:p w14:paraId="19E24818" w14:textId="3706C25A" w:rsidR="00ED038F" w:rsidRDefault="007A07ED" w:rsidP="00207962">
      <w:pPr>
        <w:jc w:val="both"/>
      </w:pPr>
      <w:r>
        <w:lastRenderedPageBreak/>
        <w:t xml:space="preserve">The second </w:t>
      </w:r>
      <w:r w:rsidR="00C72F67">
        <w:t>direction</w:t>
      </w:r>
      <w:r>
        <w:t xml:space="preserve"> was the macroeconomic perspective</w:t>
      </w:r>
      <w:r w:rsidR="00C72F67">
        <w:t>, l</w:t>
      </w:r>
      <w:r>
        <w:t>ed by economists</w:t>
      </w:r>
      <w:r w:rsidR="00C72F67">
        <w:t>. C</w:t>
      </w:r>
      <w:r>
        <w:t xml:space="preserve">oncerns for </w:t>
      </w:r>
      <w:r w:rsidR="00C72F67">
        <w:t xml:space="preserve">the </w:t>
      </w:r>
      <w:r>
        <w:t xml:space="preserve">greying generations </w:t>
      </w:r>
      <w:r w:rsidR="00C72F67">
        <w:t xml:space="preserve">and their </w:t>
      </w:r>
      <w:r w:rsidR="0056145C">
        <w:t>impact on the country’s economic growth were extensively investigated u</w:t>
      </w:r>
      <w:r w:rsidR="00C72F67">
        <w:t>tilizing</w:t>
      </w:r>
      <w:r w:rsidR="0056145C">
        <w:t xml:space="preserve"> the concept of the second demographic dividend.  Researchers have embarked on putting different scenarios for the different economic trajectories in developing countries and needed policies to achieve the best economic performance under these projected changes in the age structure.  Recognizing that in many developing countries, the first dividend might have not achieved its potentials </w:t>
      </w:r>
      <w:r w:rsidR="00DB6CEF">
        <w:t>of wealth and savings that are the base for the second demographic dividend as well as</w:t>
      </w:r>
      <w:r w:rsidR="0056145C">
        <w:t xml:space="preserve"> </w:t>
      </w:r>
      <w:r w:rsidR="00ED038F">
        <w:t>absence of</w:t>
      </w:r>
      <w:r w:rsidR="0056145C">
        <w:t xml:space="preserve"> strong institutional supports for older persons, many research efforts focused on identifying policy recommendations that can support achieving the full potential of these greying generations</w:t>
      </w:r>
      <w:r w:rsidR="00ED038F">
        <w:t xml:space="preserve"> and the second demographic dividend while </w:t>
      </w:r>
      <w:r w:rsidR="0056145C">
        <w:t xml:space="preserve">securing </w:t>
      </w:r>
      <w:r w:rsidR="00ED038F">
        <w:t xml:space="preserve">a sustained </w:t>
      </w:r>
      <w:r w:rsidR="0056145C">
        <w:t xml:space="preserve">economic welfare for the whole country. </w:t>
      </w:r>
      <w:r w:rsidR="00ED038F">
        <w:t xml:space="preserve">A reading of these recommendations reveals their strong </w:t>
      </w:r>
      <w:r w:rsidR="00C72F67">
        <w:t xml:space="preserve">appreciation of the importance of </w:t>
      </w:r>
      <w:r w:rsidR="00ED038F">
        <w:t>the various dimensions identified under the social perspective</w:t>
      </w:r>
      <w:r w:rsidR="00C72F67">
        <w:t xml:space="preserve"> to secure economic goals</w:t>
      </w:r>
      <w:r w:rsidR="00ED038F">
        <w:t>.  They called for revisiting the policies and social interventions in discrimination, access to care and support, access health, access to justice, social protection and social security, work and work environment, education and life-long learning, and effective participation in society.</w:t>
      </w:r>
      <w:r w:rsidR="00DB6CEF">
        <w:t xml:space="preserve"> It further called for an early initiation </w:t>
      </w:r>
      <w:r w:rsidR="0059234D">
        <w:t xml:space="preserve">and revisions </w:t>
      </w:r>
      <w:r w:rsidR="00DB6CEF">
        <w:t xml:space="preserve">of these policies </w:t>
      </w:r>
      <w:r w:rsidR="0059234D">
        <w:t xml:space="preserve">while </w:t>
      </w:r>
      <w:r w:rsidR="00DB6CEF">
        <w:t>adopti</w:t>
      </w:r>
      <w:r w:rsidR="0059234D">
        <w:t>ng</w:t>
      </w:r>
      <w:r w:rsidR="00DB6CEF">
        <w:t xml:space="preserve"> of life cycle approach </w:t>
      </w:r>
      <w:r w:rsidR="0059234D">
        <w:t>through which policies can well prepare today’s young adults to enjoy secure, healthy</w:t>
      </w:r>
      <w:r w:rsidR="000F0029">
        <w:t xml:space="preserve"> and disability free</w:t>
      </w:r>
      <w:r w:rsidR="0059234D">
        <w:t>, effective and fully participatory life in their greying age stages.</w:t>
      </w:r>
    </w:p>
    <w:p w14:paraId="2E4E7484" w14:textId="3F886B2A" w:rsidR="00601D73" w:rsidRDefault="00601D73" w:rsidP="00207962">
      <w:pPr>
        <w:jc w:val="both"/>
      </w:pPr>
      <w:r>
        <w:t xml:space="preserve">There is no doubt that these two directions of work pave the way for harnessing the potentials of the current and future greying generations.  The right based perspective set the bases for the older population </w:t>
      </w:r>
      <w:r w:rsidR="00B44D95">
        <w:t xml:space="preserve">including PWDs </w:t>
      </w:r>
      <w:r>
        <w:t xml:space="preserve">to </w:t>
      </w:r>
      <w:r w:rsidR="000F0029">
        <w:t>fully</w:t>
      </w:r>
      <w:r>
        <w:t xml:space="preserve"> enjoy their human rights in the different aspects of life and </w:t>
      </w:r>
      <w:r w:rsidR="000F0029">
        <w:t>to have access to the proper m</w:t>
      </w:r>
      <w:r>
        <w:t xml:space="preserve">echanisms to </w:t>
      </w:r>
      <w:r w:rsidR="000F0029">
        <w:t>counteract</w:t>
      </w:r>
      <w:r>
        <w:t xml:space="preserve"> any violation</w:t>
      </w:r>
      <w:r w:rsidR="000F0029">
        <w:t xml:space="preserve">s of them. Simultaneously, it holds duty bearers the full responsibility and </w:t>
      </w:r>
      <w:r>
        <w:t xml:space="preserve">full commitment </w:t>
      </w:r>
      <w:r w:rsidR="000F0029">
        <w:t xml:space="preserve">towards </w:t>
      </w:r>
      <w:r>
        <w:t>meet</w:t>
      </w:r>
      <w:r w:rsidR="000F0029">
        <w:t>ing</w:t>
      </w:r>
      <w:r>
        <w:t xml:space="preserve"> these right</w:t>
      </w:r>
      <w:r w:rsidR="000F0029">
        <w:t xml:space="preserve">s. With this base in place, current and future generations of older persons will be comprehensively equipped with the needed assets to contribute effectively and efficiently in the second demographic dividend.  </w:t>
      </w:r>
    </w:p>
    <w:p w14:paraId="073E5535" w14:textId="7DDE5D84" w:rsidR="003F59CC" w:rsidRDefault="00C72F67" w:rsidP="00207962">
      <w:pPr>
        <w:jc w:val="both"/>
      </w:pPr>
      <w:r>
        <w:t>An</w:t>
      </w:r>
      <w:r w:rsidR="000F0029">
        <w:t xml:space="preserve"> important </w:t>
      </w:r>
      <w:r w:rsidR="00ED038F">
        <w:t>commonalit</w:t>
      </w:r>
      <w:r w:rsidR="000F0029">
        <w:t>y</w:t>
      </w:r>
      <w:r w:rsidR="00ED038F">
        <w:t xml:space="preserve"> </w:t>
      </w:r>
      <w:r>
        <w:t xml:space="preserve">in </w:t>
      </w:r>
      <w:r w:rsidR="00ED038F">
        <w:t xml:space="preserve">these two </w:t>
      </w:r>
      <w:r>
        <w:t xml:space="preserve">directions </w:t>
      </w:r>
      <w:r w:rsidR="00ED038F">
        <w:t xml:space="preserve">was their call for a comprehensive systematic information and </w:t>
      </w:r>
      <w:r w:rsidR="00DB6CEF">
        <w:t>evidence b</w:t>
      </w:r>
      <w:r w:rsidR="00ED038F">
        <w:t>ase</w:t>
      </w:r>
      <w:r>
        <w:t xml:space="preserve">.  This </w:t>
      </w:r>
      <w:r w:rsidR="00DB6CEF">
        <w:t>evidence-b</w:t>
      </w:r>
      <w:r>
        <w:t xml:space="preserve">ase should not confine itself to the </w:t>
      </w:r>
      <w:r w:rsidR="00ED038F">
        <w:t xml:space="preserve">various issues of concerns </w:t>
      </w:r>
      <w:r w:rsidR="00976D54">
        <w:t xml:space="preserve">for older persons, but </w:t>
      </w:r>
      <w:r w:rsidR="00173D9C">
        <w:t xml:space="preserve">it needs to </w:t>
      </w:r>
      <w:r w:rsidR="00976D54">
        <w:t xml:space="preserve">also </w:t>
      </w:r>
      <w:r w:rsidR="00ED038F">
        <w:t>adopt a life cycle approach and</w:t>
      </w:r>
      <w:r w:rsidR="00976D54">
        <w:t xml:space="preserve"> provide a full picture of the different stages of individuals’ lives across these dimensions</w:t>
      </w:r>
      <w:r w:rsidR="0059234D">
        <w:t xml:space="preserve"> with the aim of serving the revision and initiation of the new policies for current and future older persons</w:t>
      </w:r>
      <w:r w:rsidR="00976D54">
        <w:t>.</w:t>
      </w:r>
    </w:p>
    <w:p w14:paraId="76964F7B" w14:textId="650B9886" w:rsidR="00F10B75" w:rsidRPr="00C5709E" w:rsidRDefault="00976D54" w:rsidP="00F10B75">
      <w:pPr>
        <w:pStyle w:val="Heading1"/>
        <w:rPr>
          <w:b/>
          <w:bCs/>
        </w:rPr>
      </w:pPr>
      <w:r w:rsidRPr="00C5709E">
        <w:rPr>
          <w:b/>
          <w:bCs/>
        </w:rPr>
        <w:t xml:space="preserve">Harnessing the potentials </w:t>
      </w:r>
      <w:r w:rsidR="00F10B75" w:rsidRPr="00C5709E">
        <w:rPr>
          <w:b/>
          <w:bCs/>
        </w:rPr>
        <w:t xml:space="preserve">of </w:t>
      </w:r>
      <w:r w:rsidR="00173D9C" w:rsidRPr="00C5709E">
        <w:rPr>
          <w:b/>
          <w:bCs/>
        </w:rPr>
        <w:t xml:space="preserve">the </w:t>
      </w:r>
      <w:r w:rsidR="00F10B75" w:rsidRPr="00C5709E">
        <w:rPr>
          <w:b/>
          <w:bCs/>
        </w:rPr>
        <w:t>Arab greying generations</w:t>
      </w:r>
    </w:p>
    <w:p w14:paraId="70F03A1E" w14:textId="7575E07F" w:rsidR="00976D54" w:rsidRDefault="00C94C81" w:rsidP="006C140E">
      <w:pPr>
        <w:jc w:val="both"/>
      </w:pPr>
      <w:r>
        <w:t>Like</w:t>
      </w:r>
      <w:r w:rsidR="00976D54">
        <w:t xml:space="preserve"> many developing countries, the Arab region is currently undergoing a rapid pace aging process.  According to the United Nation</w:t>
      </w:r>
      <w:sdt>
        <w:sdtPr>
          <w:tag w:val="goog_rdk_0"/>
          <w:id w:val="1310899287"/>
        </w:sdtPr>
        <w:sdtEndPr/>
        <w:sdtContent>
          <w:r w:rsidR="00976D54">
            <w:t>s</w:t>
          </w:r>
        </w:sdtContent>
      </w:sdt>
      <w:r w:rsidR="00976D54">
        <w:t xml:space="preserve"> projections</w:t>
      </w:r>
      <w:r w:rsidR="000F0029">
        <w:t xml:space="preserve"> (</w:t>
      </w:r>
      <w:r w:rsidR="009A495A">
        <w:t>UN 2019)</w:t>
      </w:r>
      <w:r w:rsidR="009A495A">
        <w:rPr>
          <w:rStyle w:val="FootnoteReference"/>
        </w:rPr>
        <w:footnoteReference w:id="1"/>
      </w:r>
      <w:r w:rsidR="00976D54">
        <w:t xml:space="preserve">, the share of older persons (60 years and older) will be doubled within the next 30 years.  </w:t>
      </w:r>
      <w:r w:rsidR="00A67491">
        <w:t xml:space="preserve">With a growth rate 3.8% per year (more </w:t>
      </w:r>
      <w:r w:rsidR="00A67491">
        <w:lastRenderedPageBreak/>
        <w:t xml:space="preserve">than double the growth rate of the total population (1.7%), the share of </w:t>
      </w:r>
      <w:r w:rsidR="00976D54">
        <w:t xml:space="preserve">older persons </w:t>
      </w:r>
      <w:r w:rsidR="00A67491">
        <w:t xml:space="preserve">will increase from </w:t>
      </w:r>
      <w:r w:rsidR="00976D54">
        <w:t>7</w:t>
      </w:r>
      <w:r>
        <w:t>% in</w:t>
      </w:r>
      <w:r w:rsidR="00A67491">
        <w:t xml:space="preserve"> 2020 to 15% in 20</w:t>
      </w:r>
      <w:r w:rsidR="006C140E">
        <w:t>5</w:t>
      </w:r>
      <w:r w:rsidR="00A67491">
        <w:t>0.  This is translated in having</w:t>
      </w:r>
      <w:r w:rsidR="00173D9C">
        <w:t xml:space="preserve"> around</w:t>
      </w:r>
      <w:r w:rsidR="00A67491">
        <w:t xml:space="preserve"> 101 million </w:t>
      </w:r>
      <w:r>
        <w:t>people</w:t>
      </w:r>
      <w:r w:rsidR="00A67491">
        <w:t xml:space="preserve"> in this age group.</w:t>
      </w:r>
      <w:r w:rsidR="00976D54">
        <w:t xml:space="preserve">  However, </w:t>
      </w:r>
      <w:r w:rsidR="00A67491">
        <w:t xml:space="preserve">there is no doubt that </w:t>
      </w:r>
      <w:r w:rsidR="00976D54">
        <w:t xml:space="preserve">different countries in the region will experience different pace of ageing.  By 2050, only two countries; namely Sudan and Somalia are expected to have less than 10% of its population aged 60 years and older.  On contrast, ten countries are expected to have 20% of its population aged 60 years and older. </w:t>
      </w:r>
    </w:p>
    <w:p w14:paraId="3B588482" w14:textId="3BA2AD40" w:rsidR="00976D54" w:rsidRDefault="00976D54" w:rsidP="00207962">
      <w:pPr>
        <w:jc w:val="both"/>
      </w:pPr>
      <w:r>
        <w:t>Th</w:t>
      </w:r>
      <w:r w:rsidR="00A67491">
        <w:t>ese unprecedented large cohorts of older persons</w:t>
      </w:r>
      <w:r w:rsidR="00173D9C">
        <w:t>,</w:t>
      </w:r>
      <w:r w:rsidR="00A67491">
        <w:t xml:space="preserve"> emerging </w:t>
      </w:r>
      <w:r>
        <w:t>alongside significant social and economic changes as well as high levels of political challenges in our societies</w:t>
      </w:r>
      <w:r w:rsidR="00173D9C">
        <w:t>,</w:t>
      </w:r>
      <w:r>
        <w:t xml:space="preserve"> put substantial pressure on both the societies as well as the families</w:t>
      </w:r>
      <w:r w:rsidR="00173D9C">
        <w:t xml:space="preserve">. </w:t>
      </w:r>
      <w:r w:rsidR="0059234D">
        <w:t xml:space="preserve">Additionally, differences in the experience of the first demographic dividend in Arab countries </w:t>
      </w:r>
      <w:r w:rsidR="008848D5">
        <w:t>are expected to have some implications on achieving the full potentials of their second demographic dividend which in return would require</w:t>
      </w:r>
      <w:r w:rsidR="0059234D">
        <w:t xml:space="preserve"> different </w:t>
      </w:r>
      <w:r w:rsidR="008848D5">
        <w:t>policies to secure the welfare of their older persons as well as the whole society.</w:t>
      </w:r>
      <w:r w:rsidR="0059234D">
        <w:t xml:space="preserve">  </w:t>
      </w:r>
      <w:r w:rsidR="00A67491">
        <w:t xml:space="preserve">Recognizing these substantial changes in the age structure in the Arab countries and the need not only to secure the wellbeing of those greying generations, but also achieving their full potentials toward the welfare of their countries, </w:t>
      </w:r>
      <w:r w:rsidR="008848D5">
        <w:t xml:space="preserve">the league of the Arab </w:t>
      </w:r>
      <w:sdt>
        <w:sdtPr>
          <w:tag w:val="goog_rdk_3"/>
          <w:id w:val="-1391955849"/>
        </w:sdtPr>
        <w:sdtEndPr/>
        <w:sdtContent>
          <w:r w:rsidR="008848D5">
            <w:t>States</w:t>
          </w:r>
        </w:sdtContent>
      </w:sdt>
      <w:r w:rsidR="008848D5">
        <w:t xml:space="preserve"> (Arab Council of Ministers of Social </w:t>
      </w:r>
      <w:r w:rsidR="00C94C81">
        <w:t>Affairs) and</w:t>
      </w:r>
      <w:r w:rsidR="008848D5">
        <w:t xml:space="preserve"> </w:t>
      </w:r>
      <w:r>
        <w:t>the U</w:t>
      </w:r>
      <w:r w:rsidR="00E35083">
        <w:t xml:space="preserve">nited Nation Population Fund </w:t>
      </w:r>
      <w:r w:rsidR="008848D5">
        <w:t xml:space="preserve">/Arab State Regional </w:t>
      </w:r>
      <w:r w:rsidR="00C5709E">
        <w:t>Office launched</w:t>
      </w:r>
      <w:r>
        <w:t xml:space="preserve"> the Arab </w:t>
      </w:r>
      <w:r w:rsidR="008848D5">
        <w:t xml:space="preserve">Older Population </w:t>
      </w:r>
      <w:r>
        <w:t xml:space="preserve">Strategy 2019-2029. </w:t>
      </w:r>
      <w:r w:rsidR="00A67491">
        <w:t xml:space="preserve"> The strategy</w:t>
      </w:r>
      <w:r w:rsidR="0009327C">
        <w:t xml:space="preserve"> aimed to support the implementation of policies that support healthy and equitable aging within the framework of the ICPD PoA and the SDG 2030 Agenda.  </w:t>
      </w:r>
      <w:r w:rsidR="009051D0">
        <w:t xml:space="preserve">It </w:t>
      </w:r>
      <w:r w:rsidR="00A67491">
        <w:t xml:space="preserve">adopted a right based perspective in addressing older </w:t>
      </w:r>
      <w:r w:rsidR="00C5709E">
        <w:t>persons ‘issues</w:t>
      </w:r>
      <w:r w:rsidR="00173D9C">
        <w:t>.  T</w:t>
      </w:r>
      <w:r w:rsidR="00575785">
        <w:t xml:space="preserve">he strategy called </w:t>
      </w:r>
      <w:r>
        <w:t xml:space="preserve">to “secure an inclusive environment for our female and male older persons within which they enjoy their full social and health rights as well as non-discriminatory participation in the society.”  </w:t>
      </w:r>
    </w:p>
    <w:p w14:paraId="4DE0429F" w14:textId="3E6B38D5" w:rsidR="00976D54" w:rsidRDefault="00976D54" w:rsidP="00207962">
      <w:pPr>
        <w:jc w:val="both"/>
      </w:pPr>
      <w:r>
        <w:t>The strategy stressed some procedural objectives that can support the achievement of its main goal.  These objectives</w:t>
      </w:r>
      <w:r w:rsidR="00575785">
        <w:t xml:space="preserve"> correspond in many aspects with the main pillars for areas of interventions proposed by both the social right based perspective and macroeconomic perspective.  These objectives </w:t>
      </w:r>
      <w:r>
        <w:t>included:</w:t>
      </w:r>
    </w:p>
    <w:p w14:paraId="2F68ADF9" w14:textId="77777777" w:rsidR="00976D54" w:rsidRDefault="00976D54" w:rsidP="00207962">
      <w:pPr>
        <w:numPr>
          <w:ilvl w:val="0"/>
          <w:numId w:val="10"/>
        </w:numPr>
        <w:pBdr>
          <w:top w:val="nil"/>
          <w:left w:val="nil"/>
          <w:bottom w:val="nil"/>
          <w:right w:val="nil"/>
          <w:between w:val="nil"/>
        </w:pBdr>
        <w:spacing w:after="0" w:line="252" w:lineRule="auto"/>
        <w:jc w:val="both"/>
      </w:pPr>
      <w:r>
        <w:rPr>
          <w:color w:val="000000"/>
        </w:rPr>
        <w:t xml:space="preserve">Development of the social care and security systems </w:t>
      </w:r>
      <w:sdt>
        <w:sdtPr>
          <w:tag w:val="goog_rdk_8"/>
          <w:id w:val="1698267566"/>
        </w:sdtPr>
        <w:sdtEndPr/>
        <w:sdtContent>
          <w:r>
            <w:rPr>
              <w:color w:val="000000"/>
            </w:rPr>
            <w:t>that</w:t>
          </w:r>
        </w:sdtContent>
      </w:sdt>
      <w:r>
        <w:rPr>
          <w:color w:val="000000"/>
        </w:rPr>
        <w:t xml:space="preserve"> is </w:t>
      </w:r>
      <w:sdt>
        <w:sdtPr>
          <w:tag w:val="goog_rdk_10"/>
          <w:id w:val="-1108505726"/>
        </w:sdtPr>
        <w:sdtEndPr/>
        <w:sdtContent>
          <w:r>
            <w:rPr>
              <w:color w:val="000000"/>
            </w:rPr>
            <w:t>adaptable</w:t>
          </w:r>
        </w:sdtContent>
      </w:sdt>
      <w:r>
        <w:t xml:space="preserve"> </w:t>
      </w:r>
      <w:r>
        <w:rPr>
          <w:color w:val="000000"/>
        </w:rPr>
        <w:t xml:space="preserve">to the new requirement of the rapidly growing older population. </w:t>
      </w:r>
    </w:p>
    <w:p w14:paraId="5DE6E59F" w14:textId="77777777" w:rsidR="00976D54" w:rsidRDefault="00976D54" w:rsidP="00207962">
      <w:pPr>
        <w:numPr>
          <w:ilvl w:val="0"/>
          <w:numId w:val="10"/>
        </w:numPr>
        <w:pBdr>
          <w:top w:val="nil"/>
          <w:left w:val="nil"/>
          <w:bottom w:val="nil"/>
          <w:right w:val="nil"/>
          <w:between w:val="nil"/>
        </w:pBdr>
        <w:spacing w:after="0" w:line="252" w:lineRule="auto"/>
        <w:jc w:val="both"/>
      </w:pPr>
      <w:r>
        <w:rPr>
          <w:color w:val="000000"/>
        </w:rPr>
        <w:t>Enhancing the effectiveness of the social safety nets adopted in the Arab countries with particular emphasis on targeting vulnerable groups among older persons in both urban and rural areas.</w:t>
      </w:r>
    </w:p>
    <w:p w14:paraId="7E03FF7E" w14:textId="77777777" w:rsidR="00976D54" w:rsidRDefault="00976D54" w:rsidP="00976D54">
      <w:pPr>
        <w:numPr>
          <w:ilvl w:val="0"/>
          <w:numId w:val="10"/>
        </w:numPr>
        <w:pBdr>
          <w:top w:val="nil"/>
          <w:left w:val="nil"/>
          <w:bottom w:val="nil"/>
          <w:right w:val="nil"/>
          <w:between w:val="nil"/>
        </w:pBdr>
        <w:spacing w:after="0" w:line="252" w:lineRule="auto"/>
        <w:jc w:val="both"/>
      </w:pPr>
      <w:r>
        <w:rPr>
          <w:color w:val="000000"/>
        </w:rPr>
        <w:t xml:space="preserve">Enhancing the capacities of the health systems in the Arab countries to better serve the older persons with particular emphasis on preventive and curative care as well as their mental and psychological </w:t>
      </w:r>
      <w:sdt>
        <w:sdtPr>
          <w:tag w:val="goog_rdk_12"/>
          <w:id w:val="-1268999237"/>
        </w:sdtPr>
        <w:sdtEndPr/>
        <w:sdtContent>
          <w:r>
            <w:rPr>
              <w:color w:val="000000"/>
            </w:rPr>
            <w:t>well-being</w:t>
          </w:r>
        </w:sdtContent>
      </w:sdt>
      <w:sdt>
        <w:sdtPr>
          <w:tag w:val="goog_rdk_13"/>
          <w:id w:val="-992026691"/>
          <w:showingPlcHdr/>
        </w:sdtPr>
        <w:sdtEndPr/>
        <w:sdtContent>
          <w:r>
            <w:t xml:space="preserve">     </w:t>
          </w:r>
        </w:sdtContent>
      </w:sdt>
      <w:r>
        <w:rPr>
          <w:color w:val="000000"/>
        </w:rPr>
        <w:t xml:space="preserve">.   </w:t>
      </w:r>
    </w:p>
    <w:p w14:paraId="7A6D72D7" w14:textId="77777777" w:rsidR="00976D54" w:rsidRDefault="00976D54" w:rsidP="00976D54">
      <w:pPr>
        <w:numPr>
          <w:ilvl w:val="0"/>
          <w:numId w:val="10"/>
        </w:numPr>
        <w:pBdr>
          <w:top w:val="nil"/>
          <w:left w:val="nil"/>
          <w:bottom w:val="nil"/>
          <w:right w:val="nil"/>
          <w:between w:val="nil"/>
        </w:pBdr>
        <w:spacing w:after="0" w:line="252" w:lineRule="auto"/>
        <w:jc w:val="both"/>
      </w:pPr>
      <w:r>
        <w:rPr>
          <w:color w:val="000000"/>
        </w:rPr>
        <w:t>Supporting the role of the civil society in catering for the needs of older persons.</w:t>
      </w:r>
    </w:p>
    <w:p w14:paraId="53DB9BDD" w14:textId="77777777" w:rsidR="00976D54" w:rsidRDefault="00976D54" w:rsidP="00976D54">
      <w:pPr>
        <w:numPr>
          <w:ilvl w:val="0"/>
          <w:numId w:val="10"/>
        </w:numPr>
        <w:pBdr>
          <w:top w:val="nil"/>
          <w:left w:val="nil"/>
          <w:bottom w:val="nil"/>
          <w:right w:val="nil"/>
          <w:between w:val="nil"/>
        </w:pBdr>
        <w:spacing w:after="0" w:line="252" w:lineRule="auto"/>
        <w:jc w:val="both"/>
      </w:pPr>
      <w:r>
        <w:rPr>
          <w:color w:val="000000"/>
        </w:rPr>
        <w:t xml:space="preserve">Adapting the care systems for the emerging needs of older persons with emphasis on gender equity as well as </w:t>
      </w:r>
      <w:sdt>
        <w:sdtPr>
          <w:tag w:val="goog_rdk_14"/>
          <w:id w:val="-1363895048"/>
        </w:sdtPr>
        <w:sdtEndPr/>
        <w:sdtContent>
          <w:r>
            <w:rPr>
              <w:color w:val="000000"/>
            </w:rPr>
            <w:t>supporting</w:t>
          </w:r>
        </w:sdtContent>
      </w:sdt>
      <w:r>
        <w:t xml:space="preserve"> </w:t>
      </w:r>
      <w:r>
        <w:rPr>
          <w:color w:val="000000"/>
        </w:rPr>
        <w:t>their capacities to secure older persons’ safety</w:t>
      </w:r>
      <w:sdt>
        <w:sdtPr>
          <w:tag w:val="goog_rdk_16"/>
          <w:id w:val="-557010638"/>
        </w:sdtPr>
        <w:sdtEndPr/>
        <w:sdtContent>
          <w:r>
            <w:rPr>
              <w:color w:val="000000"/>
            </w:rPr>
            <w:t xml:space="preserve">, prevention from violence </w:t>
          </w:r>
        </w:sdtContent>
      </w:sdt>
      <w:r>
        <w:rPr>
          <w:color w:val="000000"/>
        </w:rPr>
        <w:t xml:space="preserve">and dignity. </w:t>
      </w:r>
    </w:p>
    <w:p w14:paraId="2AF74D92" w14:textId="77777777" w:rsidR="00976D54" w:rsidRDefault="00976D54" w:rsidP="00976D54">
      <w:pPr>
        <w:numPr>
          <w:ilvl w:val="0"/>
          <w:numId w:val="10"/>
        </w:numPr>
        <w:pBdr>
          <w:top w:val="nil"/>
          <w:left w:val="nil"/>
          <w:bottom w:val="nil"/>
          <w:right w:val="nil"/>
          <w:between w:val="nil"/>
        </w:pBdr>
        <w:spacing w:line="252" w:lineRule="auto"/>
        <w:jc w:val="both"/>
      </w:pPr>
      <w:r>
        <w:rPr>
          <w:color w:val="000000"/>
        </w:rPr>
        <w:t>Revising the legislative frameworks within the Arab countries and adapting them to ongoing changes in the Arab countries and adherence to international conventions.</w:t>
      </w:r>
    </w:p>
    <w:p w14:paraId="17A7D7DC" w14:textId="59992AAF" w:rsidR="00976D54" w:rsidRDefault="00E35083" w:rsidP="00207962">
      <w:pPr>
        <w:pBdr>
          <w:top w:val="nil"/>
          <w:left w:val="nil"/>
          <w:bottom w:val="nil"/>
          <w:right w:val="nil"/>
          <w:between w:val="nil"/>
        </w:pBdr>
        <w:spacing w:line="252" w:lineRule="auto"/>
        <w:jc w:val="both"/>
      </w:pPr>
      <w:r>
        <w:rPr>
          <w:color w:val="000000"/>
        </w:rPr>
        <w:lastRenderedPageBreak/>
        <w:t>The strategy also</w:t>
      </w:r>
      <w:r w:rsidR="00976D54">
        <w:t xml:space="preserve"> highlighted the information gaps </w:t>
      </w:r>
      <w:r w:rsidR="00C94C81">
        <w:t>about</w:t>
      </w:r>
      <w:r w:rsidR="00976D54">
        <w:t xml:space="preserve"> the older persons in the Arab countries.  </w:t>
      </w:r>
    </w:p>
    <w:p w14:paraId="7DF575BC" w14:textId="1C2255D5" w:rsidR="007A07ED" w:rsidRDefault="00E35083" w:rsidP="00207962">
      <w:pPr>
        <w:jc w:val="both"/>
      </w:pPr>
      <w:r>
        <w:t xml:space="preserve">In June 2021, </w:t>
      </w:r>
      <w:r w:rsidR="008848D5">
        <w:t xml:space="preserve">the League of the Arab </w:t>
      </w:r>
      <w:sdt>
        <w:sdtPr>
          <w:tag w:val="goog_rdk_3"/>
          <w:id w:val="-919556613"/>
        </w:sdtPr>
        <w:sdtEndPr/>
        <w:sdtContent>
          <w:r w:rsidR="008848D5">
            <w:t>States</w:t>
          </w:r>
        </w:sdtContent>
      </w:sdt>
      <w:r w:rsidR="008848D5">
        <w:t xml:space="preserve"> (Arab Council of Ministers of Social Affairs)</w:t>
      </w:r>
      <w:r>
        <w:t xml:space="preserve">, the United Nation Population Funds /Arab States </w:t>
      </w:r>
      <w:r w:rsidR="008848D5">
        <w:t>Regional Office (UNFPA/ASRO) and</w:t>
      </w:r>
      <w:r w:rsidR="008848D5" w:rsidRPr="008848D5">
        <w:t xml:space="preserve"> </w:t>
      </w:r>
      <w:r w:rsidR="008848D5">
        <w:t>the Social Research Center</w:t>
      </w:r>
      <w:r w:rsidR="008848D5" w:rsidRPr="00E35083">
        <w:t xml:space="preserve"> </w:t>
      </w:r>
      <w:r w:rsidR="008848D5">
        <w:t>of the American University in Cairo</w:t>
      </w:r>
      <w:r>
        <w:t>, held a regional webinar “</w:t>
      </w:r>
      <w:r w:rsidRPr="00E35083">
        <w:t>Caring for our older population in the Arab countries: Policies and actions perspectives</w:t>
      </w:r>
      <w:r>
        <w:t xml:space="preserve">.”  The main objective of the webinar was to </w:t>
      </w:r>
      <w:r w:rsidR="00E23B42" w:rsidRPr="00E23B42">
        <w:t xml:space="preserve">offer critical engagement with the current efforts undertaken by many </w:t>
      </w:r>
      <w:r w:rsidR="00E23B42">
        <w:t>governmental and non-governmental organizations</w:t>
      </w:r>
      <w:r w:rsidR="00E23B42" w:rsidRPr="00E23B42">
        <w:t xml:space="preserve"> in the Arab countries towards the implementation of the </w:t>
      </w:r>
      <w:r w:rsidR="00C94C81">
        <w:t xml:space="preserve">Regional </w:t>
      </w:r>
      <w:r w:rsidR="00E23B42" w:rsidRPr="00E23B42">
        <w:t>Arab Strategy for Older Population</w:t>
      </w:r>
      <w:r w:rsidR="00E23B42">
        <w:t xml:space="preserve">.  The webinar was successful in </w:t>
      </w:r>
      <w:r w:rsidR="00173D9C">
        <w:t xml:space="preserve">demonstrating that concerns for the rapid aging process in the Arab countries are </w:t>
      </w:r>
      <w:r w:rsidR="003364A6">
        <w:t>well articulated.  Some countries are formulating their own older population strategy which is consistent with the main pillars of the regional Arab strategy, while others have initiated programs and interventio</w:t>
      </w:r>
      <w:r w:rsidR="00AD38DA">
        <w:t xml:space="preserve">ns.  </w:t>
      </w:r>
      <w:r w:rsidR="00E23B42">
        <w:t>The webinar concluded with a call for adopting a right-based perspective as well as a life cycle perspective in addressing the wellbeing and achieving the full potential of our older popul</w:t>
      </w:r>
      <w:r w:rsidR="00AD38DA">
        <w:t>ation. furthermore, the webinar called for improving the evidence base and finding a platform for interaction, share and learn for the different experiences.</w:t>
      </w:r>
    </w:p>
    <w:p w14:paraId="1907ED5B" w14:textId="028AC53B" w:rsidR="0009327C" w:rsidRPr="00C5709E" w:rsidRDefault="0009327C" w:rsidP="0009327C">
      <w:pPr>
        <w:pStyle w:val="Heading1"/>
        <w:rPr>
          <w:b/>
          <w:bCs/>
        </w:rPr>
      </w:pPr>
      <w:r w:rsidRPr="00C5709E">
        <w:rPr>
          <w:b/>
          <w:bCs/>
        </w:rPr>
        <w:t>Objective and theme</w:t>
      </w:r>
    </w:p>
    <w:p w14:paraId="578375EF" w14:textId="1A4C1CB7" w:rsidR="0085714A" w:rsidRDefault="00C94C81" w:rsidP="00207962">
      <w:pPr>
        <w:jc w:val="both"/>
      </w:pPr>
      <w:r>
        <w:t>Around</w:t>
      </w:r>
      <w:r w:rsidR="00E23B42">
        <w:t xml:space="preserve"> the </w:t>
      </w:r>
      <w:r>
        <w:t xml:space="preserve">celebrations of the </w:t>
      </w:r>
      <w:r w:rsidR="00E23B42">
        <w:t>international day</w:t>
      </w:r>
      <w:r w:rsidR="0085714A">
        <w:t xml:space="preserve"> of older persons, </w:t>
      </w:r>
      <w:r>
        <w:t xml:space="preserve">the United Nation Population Funds /Arab States Regional Office (UNFPA/ASRO) with support from </w:t>
      </w:r>
      <w:r w:rsidR="0085714A">
        <w:t>the Social Research Center</w:t>
      </w:r>
      <w:r w:rsidR="0085714A" w:rsidRPr="00E35083">
        <w:t xml:space="preserve"> </w:t>
      </w:r>
      <w:r w:rsidR="0085714A">
        <w:t xml:space="preserve">of the American University in Cairo, </w:t>
      </w:r>
      <w:r>
        <w:t xml:space="preserve">and in collaboration with </w:t>
      </w:r>
      <w:r w:rsidR="0085714A">
        <w:t xml:space="preserve">the league of the Arab </w:t>
      </w:r>
      <w:sdt>
        <w:sdtPr>
          <w:tag w:val="goog_rdk_3"/>
          <w:id w:val="243154212"/>
        </w:sdtPr>
        <w:sdtEndPr/>
        <w:sdtContent>
          <w:r w:rsidR="0085714A">
            <w:t>States</w:t>
          </w:r>
        </w:sdtContent>
      </w:sdt>
      <w:r w:rsidR="0085714A">
        <w:t xml:space="preserve"> (Arab Council of Ministers of Social Affairs) </w:t>
      </w:r>
      <w:r>
        <w:t xml:space="preserve">and HelpAge </w:t>
      </w:r>
      <w:r w:rsidR="00AD38DA">
        <w:t>is holding</w:t>
      </w:r>
      <w:r w:rsidR="0085714A">
        <w:t xml:space="preserve"> a second </w:t>
      </w:r>
      <w:r>
        <w:t xml:space="preserve">advocacy </w:t>
      </w:r>
      <w:r w:rsidR="0085714A">
        <w:t>webinar.   This second webinar capitalize</w:t>
      </w:r>
      <w:r w:rsidR="008A0CA6">
        <w:t>s</w:t>
      </w:r>
      <w:r w:rsidR="0085714A">
        <w:t xml:space="preserve"> on the success of the first webinar by </w:t>
      </w:r>
      <w:r w:rsidR="008E3304">
        <w:t xml:space="preserve">exploring the extent to which the Arab countries are adhering the broad frameworks for harnessing the potentials of their greying generations.  The webinar will focus </w:t>
      </w:r>
      <w:r w:rsidR="006A6C30">
        <w:t>on</w:t>
      </w:r>
      <w:r w:rsidR="008E3304">
        <w:t xml:space="preserve"> discussing the following points:</w:t>
      </w:r>
    </w:p>
    <w:p w14:paraId="20797561" w14:textId="0295200C" w:rsidR="0009327C" w:rsidRDefault="001F05F8" w:rsidP="00207962">
      <w:pPr>
        <w:pStyle w:val="ListParagraph"/>
        <w:numPr>
          <w:ilvl w:val="0"/>
          <w:numId w:val="20"/>
        </w:numPr>
      </w:pPr>
      <w:r>
        <w:t>Positioning the Arab countries in relation to the international and regional aging framework set for harnessing the potentials of their greying generations</w:t>
      </w:r>
    </w:p>
    <w:p w14:paraId="2DFB23A8" w14:textId="5E23499D" w:rsidR="001F05F8" w:rsidRDefault="001F05F8" w:rsidP="00207962">
      <w:pPr>
        <w:pStyle w:val="ListParagraph"/>
        <w:numPr>
          <w:ilvl w:val="0"/>
          <w:numId w:val="20"/>
        </w:numPr>
      </w:pPr>
      <w:r>
        <w:t>Mainstreaming the human right</w:t>
      </w:r>
      <w:r w:rsidR="00C94C81">
        <w:t>s</w:t>
      </w:r>
      <w:r>
        <w:t xml:space="preserve"> approach in addressing old population issues</w:t>
      </w:r>
    </w:p>
    <w:p w14:paraId="0F6F9FCD" w14:textId="44171889" w:rsidR="001F05F8" w:rsidRDefault="001F05F8" w:rsidP="00207962">
      <w:pPr>
        <w:pStyle w:val="ListParagraph"/>
        <w:numPr>
          <w:ilvl w:val="0"/>
          <w:numId w:val="20"/>
        </w:numPr>
      </w:pPr>
      <w:r>
        <w:t xml:space="preserve">Highlighting aspects of </w:t>
      </w:r>
      <w:r w:rsidR="008E3304">
        <w:t xml:space="preserve">human rights </w:t>
      </w:r>
      <w:r>
        <w:t xml:space="preserve">violation </w:t>
      </w:r>
      <w:r w:rsidR="008E3304">
        <w:t>in the lives of Arab older persons</w:t>
      </w:r>
      <w:r>
        <w:t xml:space="preserve"> </w:t>
      </w:r>
      <w:r w:rsidR="008263C9">
        <w:t xml:space="preserve">including older people with </w:t>
      </w:r>
      <w:r w:rsidR="00C94C81">
        <w:t>disabilities</w:t>
      </w:r>
    </w:p>
    <w:p w14:paraId="7D935E30" w14:textId="45152645" w:rsidR="001F05F8" w:rsidRDefault="00C94C81" w:rsidP="00207962">
      <w:pPr>
        <w:pStyle w:val="ListParagraph"/>
        <w:numPr>
          <w:ilvl w:val="0"/>
          <w:numId w:val="20"/>
        </w:numPr>
      </w:pPr>
      <w:r>
        <w:t>Displaying t</w:t>
      </w:r>
      <w:r w:rsidR="001F05F8">
        <w:t>ools for improving evidence base and incorporating a life cycle approach</w:t>
      </w:r>
    </w:p>
    <w:p w14:paraId="5A0CD38B" w14:textId="68FC3DCE" w:rsidR="008A0CA6" w:rsidRDefault="008E3304" w:rsidP="00207962">
      <w:pPr>
        <w:jc w:val="both"/>
      </w:pPr>
      <w:r>
        <w:t xml:space="preserve">These points respond to the three main conclusions of the first webinar, namely what are the frameworks guiding the policies and interventions in achieving the full potentials of our greying generations, how to mainstream human rights in these policies and how we can build an evidence base adopting a life cycle approach to guide these policies. In answering these questions, the webinar starts with an </w:t>
      </w:r>
      <w:r w:rsidR="008A0CA6">
        <w:t>explor</w:t>
      </w:r>
      <w:r>
        <w:t>ation of the general fram</w:t>
      </w:r>
      <w:r w:rsidR="008A0CA6">
        <w:t>e</w:t>
      </w:r>
      <w:r>
        <w:t xml:space="preserve">works that guide the </w:t>
      </w:r>
      <w:r w:rsidR="008A0CA6">
        <w:t>policies in the international arena to harness the potentials of these greying generations</w:t>
      </w:r>
      <w:r>
        <w:t xml:space="preserve"> and presents some of the on the ground experiences in </w:t>
      </w:r>
      <w:r w:rsidR="00C94C81">
        <w:t>the Arab</w:t>
      </w:r>
      <w:r w:rsidR="008A0CA6">
        <w:t xml:space="preserve"> countries </w:t>
      </w:r>
      <w:r w:rsidR="003B35D3">
        <w:t>that adopted some of these policies and their successes.  This is followed with a</w:t>
      </w:r>
      <w:r w:rsidR="008A0CA6">
        <w:t xml:space="preserve">n exploration of the right based </w:t>
      </w:r>
      <w:r w:rsidR="003B35D3">
        <w:t xml:space="preserve">approach on </w:t>
      </w:r>
      <w:r w:rsidR="008A0CA6">
        <w:t>the currently implemented policies</w:t>
      </w:r>
      <w:r w:rsidR="003B35D3">
        <w:t xml:space="preserve"> and the introduction of the needed tools to implement of this assessment </w:t>
      </w:r>
      <w:r w:rsidR="003B35D3">
        <w:lastRenderedPageBreak/>
        <w:t>(HelpAge</w:t>
      </w:r>
      <w:r w:rsidR="008263C9">
        <w:t xml:space="preserve"> International</w:t>
      </w:r>
      <w:r w:rsidR="003B35D3">
        <w:t>)</w:t>
      </w:r>
      <w:r w:rsidR="000D7C2D">
        <w:t xml:space="preserve">.  </w:t>
      </w:r>
      <w:r w:rsidR="003B35D3">
        <w:t xml:space="preserve">Tools for assessing the right based </w:t>
      </w:r>
      <w:r w:rsidR="000D7C2D">
        <w:t xml:space="preserve">Dignity and areas of its violations in old age is also discussed and explored to identify points of interventions that can prevent these violations in any shape.  Recognizing the major shortcoming in the information base on older persons and the need to adopt a life cycle approach in securing these information bases, the Eastern Mediterranean initiative on aging (Emage) is presented as the first regional effort to address this shortcoming and currently implement in three Arab countries. The initiative adopts and adapts the panel Survey of Health and Retirement in Europe (SHARE) to the Middle Eastern countries.  Finally, the webinar will offer an intellectual space for researchers and policy makers to exchange their views, </w:t>
      </w:r>
      <w:r w:rsidR="00C94C81">
        <w:t>activities,</w:t>
      </w:r>
      <w:r w:rsidR="000D7C2D">
        <w:t xml:space="preserve"> and policies </w:t>
      </w:r>
      <w:r w:rsidR="00C5709E">
        <w:t>in</w:t>
      </w:r>
      <w:r w:rsidR="000D7C2D">
        <w:t xml:space="preserve"> healthy aging</w:t>
      </w:r>
      <w:r w:rsidR="008848D5">
        <w:t xml:space="preserve"> and achieving the potentials of our greying generations</w:t>
      </w:r>
      <w:r w:rsidR="000D7C2D">
        <w:t xml:space="preserve"> through its webpage healthy aging of the SRC</w:t>
      </w:r>
      <w:r w:rsidR="00BE2D44">
        <w:t xml:space="preserve"> </w:t>
      </w:r>
      <w:r w:rsidR="000D7C2D">
        <w:t xml:space="preserve">SDG </w:t>
      </w:r>
      <w:r w:rsidR="00BE2D44">
        <w:t>_health</w:t>
      </w:r>
      <w:r w:rsidR="000D7C2D">
        <w:t>_</w:t>
      </w:r>
      <w:r w:rsidR="00BE2D44">
        <w:t>equity_a</w:t>
      </w:r>
      <w:r w:rsidR="000D7C2D">
        <w:t>rab</w:t>
      </w:r>
      <w:r w:rsidR="00BE2D44">
        <w:t>_region</w:t>
      </w:r>
      <w:r w:rsidR="000D7C2D">
        <w:t xml:space="preserve"> platform.  Official launching of the webpage will be</w:t>
      </w:r>
      <w:r w:rsidR="00BE2D44">
        <w:t xml:space="preserve"> carried out.  </w:t>
      </w:r>
    </w:p>
    <w:p w14:paraId="1A22FD4C" w14:textId="77777777" w:rsidR="00BE2D44" w:rsidRPr="00C5709E" w:rsidRDefault="00BE2D44" w:rsidP="00BE2D44">
      <w:pPr>
        <w:pStyle w:val="Heading1"/>
        <w:rPr>
          <w:b/>
          <w:bCs/>
        </w:rPr>
      </w:pPr>
      <w:r w:rsidRPr="00C5709E">
        <w:rPr>
          <w:b/>
          <w:bCs/>
        </w:rPr>
        <w:t xml:space="preserve">Organization of the </w:t>
      </w:r>
      <w:sdt>
        <w:sdtPr>
          <w:rPr>
            <w:b/>
            <w:bCs/>
          </w:rPr>
          <w:tag w:val="goog_rdk_57"/>
          <w:id w:val="-1199157670"/>
        </w:sdtPr>
        <w:sdtEndPr/>
        <w:sdtContent/>
      </w:sdt>
      <w:r w:rsidRPr="00C5709E">
        <w:rPr>
          <w:b/>
          <w:bCs/>
        </w:rPr>
        <w:t xml:space="preserve">webinar </w:t>
      </w:r>
    </w:p>
    <w:p w14:paraId="4B5C0794" w14:textId="3B7B45FC" w:rsidR="00BE2D44" w:rsidRDefault="00BE2D44" w:rsidP="00BE2D44">
      <w:r>
        <w:t xml:space="preserve">The webinar is organized in </w:t>
      </w:r>
      <w:r w:rsidR="00C94C81">
        <w:t xml:space="preserve">the </w:t>
      </w:r>
      <w:r w:rsidR="00C5709E">
        <w:t>following</w:t>
      </w:r>
      <w:r w:rsidR="00C94C81">
        <w:t xml:space="preserve"> </w:t>
      </w:r>
      <w:r>
        <w:t>sessions</w:t>
      </w:r>
    </w:p>
    <w:p w14:paraId="249B90BC" w14:textId="77777777" w:rsidR="00BE2D44" w:rsidRDefault="00BE2D44" w:rsidP="00BE2D44">
      <w:pPr>
        <w:pStyle w:val="ListParagraph"/>
        <w:numPr>
          <w:ilvl w:val="0"/>
          <w:numId w:val="9"/>
        </w:numPr>
        <w:spacing w:line="259" w:lineRule="auto"/>
        <w:jc w:val="left"/>
      </w:pPr>
      <w:r>
        <w:t>Opening ceremony (10 min)</w:t>
      </w:r>
    </w:p>
    <w:p w14:paraId="5C153DE8" w14:textId="13069484" w:rsidR="00BE2D44" w:rsidRDefault="003B35D3" w:rsidP="003B35D3">
      <w:pPr>
        <w:pStyle w:val="ListParagraph"/>
        <w:numPr>
          <w:ilvl w:val="0"/>
          <w:numId w:val="9"/>
        </w:numPr>
        <w:spacing w:line="259" w:lineRule="auto"/>
        <w:jc w:val="left"/>
      </w:pPr>
      <w:r>
        <w:t>Harnessing the potentials of our greying generations (</w:t>
      </w:r>
      <w:r w:rsidR="00BE2D44">
        <w:t>SRC 15min)</w:t>
      </w:r>
    </w:p>
    <w:p w14:paraId="7F0C3936" w14:textId="4F751EAF" w:rsidR="00BE2D44" w:rsidRDefault="003B35D3" w:rsidP="003B35D3">
      <w:pPr>
        <w:pStyle w:val="ListParagraph"/>
        <w:numPr>
          <w:ilvl w:val="0"/>
          <w:numId w:val="9"/>
        </w:numPr>
        <w:spacing w:line="259" w:lineRule="auto"/>
        <w:jc w:val="left"/>
      </w:pPr>
      <w:r>
        <w:t xml:space="preserve">Human </w:t>
      </w:r>
      <w:r w:rsidR="00C5709E">
        <w:t>rights</w:t>
      </w:r>
      <w:r w:rsidR="00C94C81">
        <w:t>-</w:t>
      </w:r>
      <w:r>
        <w:t xml:space="preserve"> based approach: assessment and tools (</w:t>
      </w:r>
      <w:r w:rsidR="00BE2D44">
        <w:t>HelpAge 15 min)</w:t>
      </w:r>
    </w:p>
    <w:p w14:paraId="62055DCF" w14:textId="67FE9805" w:rsidR="00C94C81" w:rsidRDefault="00C94C81" w:rsidP="003B35D3">
      <w:pPr>
        <w:pStyle w:val="ListParagraph"/>
        <w:numPr>
          <w:ilvl w:val="0"/>
          <w:numId w:val="9"/>
        </w:numPr>
        <w:spacing w:line="259" w:lineRule="auto"/>
        <w:jc w:val="left"/>
      </w:pPr>
      <w:r>
        <w:t>Older people profiles in five countries (UNFPA 5 mins)</w:t>
      </w:r>
    </w:p>
    <w:p w14:paraId="5F0D5B8F" w14:textId="72C8641C" w:rsidR="00BE2D44" w:rsidRDefault="003B35D3" w:rsidP="003B35D3">
      <w:pPr>
        <w:pStyle w:val="ListParagraph"/>
        <w:numPr>
          <w:ilvl w:val="0"/>
          <w:numId w:val="9"/>
        </w:numPr>
        <w:spacing w:line="259" w:lineRule="auto"/>
        <w:jc w:val="left"/>
      </w:pPr>
      <w:r>
        <w:t>Violence against older persons (</w:t>
      </w:r>
      <w:r w:rsidR="00BE2D44">
        <w:t>UNFPA 1</w:t>
      </w:r>
      <w:r w:rsidR="00C94C81">
        <w:t>0</w:t>
      </w:r>
      <w:r w:rsidR="00BE2D44">
        <w:t xml:space="preserve"> min)</w:t>
      </w:r>
    </w:p>
    <w:p w14:paraId="1E7E5405" w14:textId="7126D482" w:rsidR="00BE2D44" w:rsidRDefault="00BE2D44" w:rsidP="003B35D3">
      <w:pPr>
        <w:pStyle w:val="ListParagraph"/>
        <w:numPr>
          <w:ilvl w:val="0"/>
          <w:numId w:val="9"/>
        </w:numPr>
        <w:spacing w:line="259" w:lineRule="auto"/>
        <w:jc w:val="left"/>
      </w:pPr>
      <w:r>
        <w:t>Emage</w:t>
      </w:r>
      <w:r w:rsidR="003B35D3">
        <w:t xml:space="preserve"> Initiative (Emage </w:t>
      </w:r>
      <w:r>
        <w:t>15 min)</w:t>
      </w:r>
    </w:p>
    <w:p w14:paraId="1EA18DCB" w14:textId="0A6E86A5" w:rsidR="00BE2D44" w:rsidRDefault="00BE2D44" w:rsidP="00BE2D44">
      <w:pPr>
        <w:pStyle w:val="ListParagraph"/>
        <w:numPr>
          <w:ilvl w:val="0"/>
          <w:numId w:val="9"/>
        </w:numPr>
        <w:spacing w:line="259" w:lineRule="auto"/>
        <w:jc w:val="left"/>
      </w:pPr>
      <w:r>
        <w:t>Official launching of Healthy aging webpage (5 min)</w:t>
      </w:r>
    </w:p>
    <w:p w14:paraId="6F69F9D6" w14:textId="53804B9E" w:rsidR="00BE2D44" w:rsidRDefault="00BE2D44" w:rsidP="00BE2D44">
      <w:pPr>
        <w:pStyle w:val="ListParagraph"/>
        <w:numPr>
          <w:ilvl w:val="0"/>
          <w:numId w:val="9"/>
        </w:numPr>
        <w:spacing w:line="259" w:lineRule="auto"/>
        <w:jc w:val="left"/>
      </w:pPr>
      <w:r>
        <w:t>Open general discussion (25 min)</w:t>
      </w:r>
    </w:p>
    <w:p w14:paraId="4FA28585" w14:textId="59756B3A" w:rsidR="00BE2D44" w:rsidRDefault="00BE2D44" w:rsidP="00BE2D44">
      <w:pPr>
        <w:pStyle w:val="ListParagraph"/>
        <w:numPr>
          <w:ilvl w:val="0"/>
          <w:numId w:val="9"/>
        </w:numPr>
        <w:spacing w:line="259" w:lineRule="auto"/>
        <w:jc w:val="left"/>
      </w:pPr>
      <w:r>
        <w:t xml:space="preserve">Concluding </w:t>
      </w:r>
      <w:r w:rsidR="00C5709E">
        <w:t>remarks (</w:t>
      </w:r>
      <w:r>
        <w:t>5 min)</w:t>
      </w:r>
    </w:p>
    <w:p w14:paraId="659AAE5A" w14:textId="4AF6946C" w:rsidR="00DD2E7C" w:rsidRPr="00C5709E" w:rsidRDefault="00DD2E7C" w:rsidP="001A187B">
      <w:pPr>
        <w:pStyle w:val="Heading1"/>
        <w:rPr>
          <w:b/>
          <w:bCs/>
        </w:rPr>
      </w:pPr>
      <w:r w:rsidRPr="00C5709E">
        <w:rPr>
          <w:b/>
          <w:bCs/>
        </w:rPr>
        <w:t xml:space="preserve">Target audience </w:t>
      </w:r>
    </w:p>
    <w:p w14:paraId="7A1F9752" w14:textId="77777777" w:rsidR="00DD2E7C" w:rsidRPr="00F279F3" w:rsidRDefault="00DD2E7C" w:rsidP="004233AA">
      <w:pPr>
        <w:ind w:left="360"/>
      </w:pPr>
      <w:r w:rsidRPr="00F279F3">
        <w:t xml:space="preserve">The webinar aims to involve participants from the following groups: </w:t>
      </w:r>
    </w:p>
    <w:p w14:paraId="28FD22D2" w14:textId="77777777" w:rsidR="00DD2E7C" w:rsidRPr="00F279F3" w:rsidRDefault="00DD2E7C" w:rsidP="004233AA">
      <w:pPr>
        <w:pStyle w:val="ListParagraph"/>
        <w:numPr>
          <w:ilvl w:val="0"/>
          <w:numId w:val="14"/>
        </w:numPr>
      </w:pPr>
      <w:r w:rsidRPr="00F279F3">
        <w:t xml:space="preserve">National governments in the Arab countries in particular representatives of the ministries engaged in the </w:t>
      </w:r>
      <w:sdt>
        <w:sdtPr>
          <w:tag w:val="goog_rdk_51"/>
          <w:id w:val="-313564005"/>
        </w:sdtPr>
        <w:sdtEndPr/>
        <w:sdtContent>
          <w:r w:rsidRPr="00F279F3">
            <w:t xml:space="preserve">health and </w:t>
          </w:r>
        </w:sdtContent>
      </w:sdt>
      <w:r w:rsidRPr="00F279F3">
        <w:t xml:space="preserve">social welfare of the </w:t>
      </w:r>
      <w:r>
        <w:t>older</w:t>
      </w:r>
      <w:r w:rsidRPr="00F279F3">
        <w:t xml:space="preserve"> population.</w:t>
      </w:r>
    </w:p>
    <w:p w14:paraId="122D99D9" w14:textId="77777777" w:rsidR="00DD2E7C" w:rsidRPr="00F279F3" w:rsidRDefault="00DD2E7C" w:rsidP="00DD2E7C">
      <w:pPr>
        <w:pStyle w:val="ListParagraph"/>
        <w:numPr>
          <w:ilvl w:val="0"/>
          <w:numId w:val="8"/>
        </w:numPr>
      </w:pPr>
      <w:r w:rsidRPr="00F279F3">
        <w:t>Representatives of UN organizations interested in issues of older persons.</w:t>
      </w:r>
    </w:p>
    <w:p w14:paraId="7A73DF36" w14:textId="5534041F" w:rsidR="00DD2E7C" w:rsidRPr="00F279F3" w:rsidRDefault="00DD2E7C" w:rsidP="00DD2E7C">
      <w:pPr>
        <w:pStyle w:val="ListParagraph"/>
        <w:numPr>
          <w:ilvl w:val="0"/>
          <w:numId w:val="8"/>
        </w:numPr>
      </w:pPr>
      <w:r w:rsidRPr="00F279F3">
        <w:t>Representatives of the</w:t>
      </w:r>
      <w:r w:rsidR="008848D5">
        <w:t xml:space="preserve"> League</w:t>
      </w:r>
      <w:r w:rsidRPr="00F279F3">
        <w:t xml:space="preserve"> of Arab States  </w:t>
      </w:r>
    </w:p>
    <w:p w14:paraId="4A472276" w14:textId="77777777" w:rsidR="00DD2E7C" w:rsidRPr="00F279F3" w:rsidRDefault="00DD2E7C" w:rsidP="00DD2E7C">
      <w:pPr>
        <w:pStyle w:val="ListParagraph"/>
        <w:numPr>
          <w:ilvl w:val="0"/>
          <w:numId w:val="8"/>
        </w:numPr>
      </w:pPr>
      <w:r w:rsidRPr="00F279F3">
        <w:t>Help Age network in the Arab region.</w:t>
      </w:r>
    </w:p>
    <w:p w14:paraId="2601EED9" w14:textId="77777777" w:rsidR="00DD2E7C" w:rsidRPr="00F279F3" w:rsidRDefault="00DD2E7C" w:rsidP="00DD2E7C">
      <w:pPr>
        <w:pStyle w:val="ListParagraph"/>
        <w:numPr>
          <w:ilvl w:val="0"/>
          <w:numId w:val="8"/>
        </w:numPr>
      </w:pPr>
      <w:r w:rsidRPr="00F279F3">
        <w:t xml:space="preserve">Representatives of nongovernmental organizations working with older persons at the national or international level. </w:t>
      </w:r>
    </w:p>
    <w:sdt>
      <w:sdtPr>
        <w:tag w:val="goog_rdk_53"/>
        <w:id w:val="29848034"/>
      </w:sdtPr>
      <w:sdtEndPr/>
      <w:sdtContent>
        <w:p w14:paraId="3334B67A" w14:textId="77777777" w:rsidR="00DD2E7C" w:rsidRPr="00F279F3" w:rsidRDefault="00DD2E7C" w:rsidP="00DD2E7C">
          <w:pPr>
            <w:pStyle w:val="ListParagraph"/>
            <w:numPr>
              <w:ilvl w:val="0"/>
              <w:numId w:val="8"/>
            </w:numPr>
          </w:pPr>
          <w:r w:rsidRPr="00F279F3">
            <w:t xml:space="preserve">Academic and research institutes engaged in working with the older population and in guiding policy makers. </w:t>
          </w:r>
          <w:sdt>
            <w:sdtPr>
              <w:tag w:val="goog_rdk_52"/>
              <w:id w:val="-176808389"/>
              <w:showingPlcHdr/>
            </w:sdtPr>
            <w:sdtEndPr/>
            <w:sdtContent>
              <w:r w:rsidRPr="00F279F3">
                <w:t xml:space="preserve">     </w:t>
              </w:r>
            </w:sdtContent>
          </w:sdt>
        </w:p>
      </w:sdtContent>
    </w:sdt>
    <w:sdt>
      <w:sdtPr>
        <w:tag w:val="goog_rdk_56"/>
        <w:id w:val="450600968"/>
      </w:sdtPr>
      <w:sdtEndPr/>
      <w:sdtContent>
        <w:p w14:paraId="08493047" w14:textId="171BC56E" w:rsidR="00DD2E7C" w:rsidRDefault="006844A5" w:rsidP="00DD2E7C">
          <w:pPr>
            <w:pStyle w:val="ListParagraph"/>
            <w:numPr>
              <w:ilvl w:val="0"/>
              <w:numId w:val="8"/>
            </w:numPr>
          </w:pPr>
          <w:sdt>
            <w:sdtPr>
              <w:tag w:val="goog_rdk_54"/>
              <w:id w:val="997914730"/>
            </w:sdtPr>
            <w:sdtEndPr/>
            <w:sdtContent>
              <w:r w:rsidR="00DD2E7C" w:rsidRPr="00F279F3">
                <w:t>Representatives from the private sector interested in older people issues.</w:t>
              </w:r>
            </w:sdtContent>
          </w:sdt>
          <w:sdt>
            <w:sdtPr>
              <w:tag w:val="goog_rdk_55"/>
              <w:id w:val="1636834655"/>
              <w:showingPlcHdr/>
            </w:sdtPr>
            <w:sdtEndPr/>
            <w:sdtContent>
              <w:r w:rsidR="006E6CB7">
                <w:t xml:space="preserve">     </w:t>
              </w:r>
            </w:sdtContent>
          </w:sdt>
        </w:p>
      </w:sdtContent>
    </w:sdt>
    <w:p w14:paraId="06777E47" w14:textId="5C870DEF" w:rsidR="00DD2E7C" w:rsidRDefault="00DD2E7C" w:rsidP="00207962">
      <w:pPr>
        <w:jc w:val="both"/>
      </w:pPr>
      <w:r>
        <w:t xml:space="preserve">To </w:t>
      </w:r>
      <w:sdt>
        <w:sdtPr>
          <w:tag w:val="goog_rdk_114"/>
          <w:id w:val="-262764827"/>
        </w:sdtPr>
        <w:sdtEndPr/>
        <w:sdtContent>
          <w:r>
            <w:t>ensure</w:t>
          </w:r>
        </w:sdtContent>
      </w:sdt>
      <w:r w:rsidR="00580C5C">
        <w:t xml:space="preserve"> high level and active </w:t>
      </w:r>
      <w:r>
        <w:t>participation</w:t>
      </w:r>
      <w:r w:rsidR="00580C5C">
        <w:t>, an open invitat</w:t>
      </w:r>
      <w:r>
        <w:t xml:space="preserve">ion will be extended to </w:t>
      </w:r>
      <w:r w:rsidR="00580C5C">
        <w:t xml:space="preserve">partners and </w:t>
      </w:r>
      <w:r>
        <w:t xml:space="preserve">carefully </w:t>
      </w:r>
      <w:sdt>
        <w:sdtPr>
          <w:tag w:val="goog_rdk_116"/>
          <w:id w:val="-1856100885"/>
        </w:sdtPr>
        <w:sdtEndPr/>
        <w:sdtContent>
          <w:r>
            <w:t>chosen targeted</w:t>
          </w:r>
        </w:sdtContent>
      </w:sdt>
      <w:r>
        <w:t xml:space="preserve"> group of </w:t>
      </w:r>
      <w:r w:rsidR="00C94C81">
        <w:t>experts</w:t>
      </w:r>
      <w:r>
        <w:t xml:space="preserve"> to share their experience </w:t>
      </w:r>
      <w:r w:rsidR="00D37AD1">
        <w:t xml:space="preserve">related to </w:t>
      </w:r>
      <w:r w:rsidR="00580C5C">
        <w:t>the four topic</w:t>
      </w:r>
      <w:r w:rsidR="00F0051F">
        <w:t>s</w:t>
      </w:r>
      <w:r w:rsidR="001A187B">
        <w:t xml:space="preserve"> of concern</w:t>
      </w:r>
      <w:r w:rsidR="00580C5C">
        <w:t xml:space="preserve"> </w:t>
      </w:r>
      <w:r w:rsidR="001A187B">
        <w:t xml:space="preserve">through </w:t>
      </w:r>
      <w:r>
        <w:t>a short intervention of 3 minutes</w:t>
      </w:r>
      <w:r w:rsidR="00F0051F">
        <w:t xml:space="preserve"> </w:t>
      </w:r>
      <w:r>
        <w:t>with particular emphasis</w:t>
      </w:r>
      <w:r w:rsidR="00D37AD1">
        <w:t xml:space="preserve"> on</w:t>
      </w:r>
      <w:r w:rsidR="00FC3CF7">
        <w:t xml:space="preserve"> presenting </w:t>
      </w:r>
      <w:r>
        <w:lastRenderedPageBreak/>
        <w:t>innovative experiences</w:t>
      </w:r>
      <w:r w:rsidR="00FC3CF7">
        <w:t xml:space="preserve"> adopted in their countries</w:t>
      </w:r>
      <w:r>
        <w:t xml:space="preserve">.  </w:t>
      </w:r>
      <w:r w:rsidR="00F0051F">
        <w:t xml:space="preserve">Selected interventions will be notified in advance.  </w:t>
      </w:r>
      <w:r>
        <w:t xml:space="preserve">In addition, </w:t>
      </w:r>
      <w:r w:rsidR="00C94C81">
        <w:t>a public</w:t>
      </w:r>
      <w:r>
        <w:t xml:space="preserve"> invitation will be widely disseminated </w:t>
      </w:r>
      <w:sdt>
        <w:sdtPr>
          <w:tag w:val="goog_rdk_118"/>
          <w:id w:val="881978749"/>
        </w:sdtPr>
        <w:sdtEndPr/>
        <w:sdtContent>
          <w:r>
            <w:t xml:space="preserve">using </w:t>
          </w:r>
          <w:r w:rsidR="00D37AD1">
            <w:t>the</w:t>
          </w:r>
          <w:r>
            <w:t xml:space="preserve"> SDG platform</w:t>
          </w:r>
        </w:sdtContent>
      </w:sdt>
      <w:r w:rsidR="00D37AD1">
        <w:t xml:space="preserve"> mailing list</w:t>
      </w:r>
      <w:r>
        <w:t xml:space="preserve">. </w:t>
      </w:r>
    </w:p>
    <w:p w14:paraId="313422D1" w14:textId="77777777" w:rsidR="00DD2E7C" w:rsidRPr="008D1458" w:rsidRDefault="00DD2E7C" w:rsidP="008D1458"/>
    <w:p w14:paraId="38287F2A" w14:textId="77777777" w:rsidR="00F5639E" w:rsidRDefault="00F5639E" w:rsidP="00F5639E"/>
    <w:p w14:paraId="04A33149" w14:textId="77777777" w:rsidR="005D12A2" w:rsidRPr="000C77DB" w:rsidRDefault="00F5639E" w:rsidP="00F5639E">
      <w:r>
        <w:t xml:space="preserve">  </w:t>
      </w:r>
    </w:p>
    <w:sectPr w:rsidR="005D12A2" w:rsidRPr="000C77D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DF1A" w14:textId="77777777" w:rsidR="006844A5" w:rsidRDefault="006844A5" w:rsidP="00BE5792">
      <w:pPr>
        <w:spacing w:after="0" w:line="240" w:lineRule="auto"/>
      </w:pPr>
      <w:r>
        <w:separator/>
      </w:r>
    </w:p>
  </w:endnote>
  <w:endnote w:type="continuationSeparator" w:id="0">
    <w:p w14:paraId="4224E203" w14:textId="77777777" w:rsidR="006844A5" w:rsidRDefault="006844A5" w:rsidP="00BE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5A11" w14:textId="77777777" w:rsidR="00147C7C" w:rsidRDefault="00147C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34D4" w14:textId="77777777" w:rsidR="00147C7C" w:rsidRDefault="00147C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70F5" w14:textId="77777777" w:rsidR="00147C7C" w:rsidRDefault="00147C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922EA" w14:textId="77777777" w:rsidR="006844A5" w:rsidRDefault="006844A5" w:rsidP="00BE5792">
      <w:pPr>
        <w:spacing w:after="0" w:line="240" w:lineRule="auto"/>
      </w:pPr>
      <w:r>
        <w:separator/>
      </w:r>
    </w:p>
  </w:footnote>
  <w:footnote w:type="continuationSeparator" w:id="0">
    <w:p w14:paraId="58A81E37" w14:textId="77777777" w:rsidR="006844A5" w:rsidRDefault="006844A5" w:rsidP="00BE5792">
      <w:pPr>
        <w:spacing w:after="0" w:line="240" w:lineRule="auto"/>
      </w:pPr>
      <w:r>
        <w:continuationSeparator/>
      </w:r>
    </w:p>
  </w:footnote>
  <w:footnote w:id="1">
    <w:p w14:paraId="77B97217" w14:textId="07C946ED" w:rsidR="009A495A" w:rsidRDefault="009A495A">
      <w:pPr>
        <w:pStyle w:val="FootnoteText"/>
      </w:pPr>
      <w:r>
        <w:rPr>
          <w:rStyle w:val="FootnoteReference"/>
        </w:rPr>
        <w:footnoteRef/>
      </w:r>
      <w:r>
        <w:t xml:space="preserve"> </w:t>
      </w:r>
      <w:r>
        <w:rPr>
          <w:rFonts w:ascii="Helvetica" w:hAnsi="Helvetica"/>
          <w:color w:val="333333"/>
          <w:shd w:val="clear" w:color="auto" w:fill="FFFFFF"/>
        </w:rPr>
        <w:t>United Nations, Department of Economic and Social Affairs, Population Division (2019). </w:t>
      </w:r>
      <w:r>
        <w:rPr>
          <w:rFonts w:ascii="Helvetica" w:hAnsi="Helvetica"/>
          <w:i/>
          <w:iCs/>
          <w:color w:val="333333"/>
          <w:shd w:val="clear" w:color="auto" w:fill="FFFFFF"/>
        </w:rPr>
        <w:t>World Population Prospects 2019, Online Edition. Rev.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A218" w14:textId="77777777" w:rsidR="00147C7C" w:rsidRDefault="00147C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1276" w:type="dxa"/>
      <w:tblLayout w:type="fixed"/>
      <w:tblLook w:val="04A0" w:firstRow="1" w:lastRow="0" w:firstColumn="1" w:lastColumn="0" w:noHBand="0" w:noVBand="1"/>
    </w:tblPr>
    <w:tblGrid>
      <w:gridCol w:w="2836"/>
      <w:gridCol w:w="2551"/>
      <w:gridCol w:w="3261"/>
      <w:gridCol w:w="2410"/>
    </w:tblGrid>
    <w:tr w:rsidR="00B65CEF" w14:paraId="65FC1388" w14:textId="77777777" w:rsidTr="00B65CEF">
      <w:tc>
        <w:tcPr>
          <w:tcW w:w="2836" w:type="dxa"/>
          <w:tcBorders>
            <w:top w:val="nil"/>
            <w:left w:val="nil"/>
            <w:bottom w:val="nil"/>
            <w:right w:val="nil"/>
          </w:tcBorders>
        </w:tcPr>
        <w:p w14:paraId="13352DE6" w14:textId="77777777" w:rsidR="00B65CEF" w:rsidRDefault="00B65CEF">
          <w:pPr>
            <w:pStyle w:val="Header"/>
          </w:pPr>
          <w:r>
            <w:rPr>
              <w:b/>
              <w:bCs/>
              <w:noProof/>
            </w:rPr>
            <w:drawing>
              <wp:inline distT="0" distB="0" distL="0" distR="0" wp14:anchorId="73B291F6" wp14:editId="24968A6C">
                <wp:extent cx="1609725" cy="689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550" cy="694950"/>
                        </a:xfrm>
                        <a:prstGeom prst="rect">
                          <a:avLst/>
                        </a:prstGeom>
                        <a:noFill/>
                        <a:ln>
                          <a:noFill/>
                        </a:ln>
                      </pic:spPr>
                    </pic:pic>
                  </a:graphicData>
                </a:graphic>
              </wp:inline>
            </w:drawing>
          </w:r>
        </w:p>
      </w:tc>
      <w:tc>
        <w:tcPr>
          <w:tcW w:w="2551" w:type="dxa"/>
          <w:tcBorders>
            <w:top w:val="nil"/>
            <w:left w:val="nil"/>
            <w:bottom w:val="nil"/>
            <w:right w:val="nil"/>
          </w:tcBorders>
        </w:tcPr>
        <w:p w14:paraId="00CF710B" w14:textId="198630F2" w:rsidR="00B65CEF" w:rsidRDefault="00147C7C" w:rsidP="00BE5792">
          <w:pPr>
            <w:pStyle w:val="Header"/>
            <w:tabs>
              <w:tab w:val="left" w:pos="393"/>
              <w:tab w:val="right" w:pos="4099"/>
            </w:tabs>
            <w:rPr>
              <w:noProof/>
            </w:rPr>
          </w:pPr>
          <w:r>
            <w:rPr>
              <w:noProof/>
            </w:rPr>
            <w:drawing>
              <wp:inline distT="0" distB="0" distL="0" distR="0" wp14:anchorId="4C1067EA" wp14:editId="665A3077">
                <wp:extent cx="1371600" cy="763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Age-logo-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315" cy="769005"/>
                        </a:xfrm>
                        <a:prstGeom prst="rect">
                          <a:avLst/>
                        </a:prstGeom>
                      </pic:spPr>
                    </pic:pic>
                  </a:graphicData>
                </a:graphic>
              </wp:inline>
            </w:drawing>
          </w:r>
        </w:p>
      </w:tc>
      <w:tc>
        <w:tcPr>
          <w:tcW w:w="3261" w:type="dxa"/>
          <w:tcBorders>
            <w:top w:val="nil"/>
            <w:left w:val="nil"/>
            <w:bottom w:val="nil"/>
            <w:right w:val="nil"/>
          </w:tcBorders>
        </w:tcPr>
        <w:p w14:paraId="466476BA" w14:textId="65FB9D53" w:rsidR="00B65CEF" w:rsidRDefault="00B65CEF" w:rsidP="00BE5792">
          <w:pPr>
            <w:pStyle w:val="Header"/>
            <w:tabs>
              <w:tab w:val="left" w:pos="393"/>
              <w:tab w:val="right" w:pos="4099"/>
            </w:tabs>
          </w:pPr>
          <w:r>
            <w:rPr>
              <w:noProof/>
            </w:rPr>
            <w:drawing>
              <wp:inline distT="0" distB="0" distL="0" distR="0" wp14:anchorId="314452A8" wp14:editId="3F1487F6">
                <wp:extent cx="1993900" cy="866775"/>
                <wp:effectExtent l="0" t="0" r="635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93900" cy="866775"/>
                        </a:xfrm>
                        <a:prstGeom prst="rect">
                          <a:avLst/>
                        </a:prstGeom>
                        <a:noFill/>
                        <a:ln>
                          <a:noFill/>
                        </a:ln>
                      </pic:spPr>
                    </pic:pic>
                  </a:graphicData>
                </a:graphic>
              </wp:inline>
            </w:drawing>
          </w:r>
        </w:p>
      </w:tc>
      <w:tc>
        <w:tcPr>
          <w:tcW w:w="2410" w:type="dxa"/>
          <w:tcBorders>
            <w:top w:val="nil"/>
            <w:left w:val="nil"/>
            <w:bottom w:val="nil"/>
            <w:right w:val="nil"/>
          </w:tcBorders>
          <w:vAlign w:val="center"/>
        </w:tcPr>
        <w:p w14:paraId="7A2E86F3" w14:textId="19949EAA" w:rsidR="00B65CEF" w:rsidRDefault="00B65CEF" w:rsidP="00147C7C">
          <w:pPr>
            <w:pStyle w:val="Header"/>
            <w:tabs>
              <w:tab w:val="left" w:pos="393"/>
              <w:tab w:val="right" w:pos="4099"/>
            </w:tabs>
            <w:jc w:val="center"/>
          </w:pPr>
          <w:r w:rsidRPr="00930A85">
            <w:rPr>
              <w:noProof/>
            </w:rPr>
            <w:drawing>
              <wp:inline distT="0" distB="0" distL="0" distR="0" wp14:anchorId="383DEE83" wp14:editId="46725ED7">
                <wp:extent cx="939800" cy="9330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710" cy="943889"/>
                        </a:xfrm>
                        <a:prstGeom prst="rect">
                          <a:avLst/>
                        </a:prstGeom>
                        <a:noFill/>
                        <a:ln>
                          <a:noFill/>
                        </a:ln>
                      </pic:spPr>
                    </pic:pic>
                  </a:graphicData>
                </a:graphic>
              </wp:inline>
            </w:drawing>
          </w:r>
        </w:p>
      </w:tc>
    </w:tr>
  </w:tbl>
  <w:p w14:paraId="128640F8" w14:textId="77777777" w:rsidR="00BE5792" w:rsidRDefault="00BE57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FC46" w14:textId="77777777" w:rsidR="00147C7C" w:rsidRDefault="00147C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CC7"/>
    <w:multiLevelType w:val="hybridMultilevel"/>
    <w:tmpl w:val="772C4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A0607"/>
    <w:multiLevelType w:val="multilevel"/>
    <w:tmpl w:val="F9282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0E4292"/>
    <w:multiLevelType w:val="hybridMultilevel"/>
    <w:tmpl w:val="59DA791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95815CC"/>
    <w:multiLevelType w:val="hybridMultilevel"/>
    <w:tmpl w:val="C4E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1A0F"/>
    <w:multiLevelType w:val="multilevel"/>
    <w:tmpl w:val="BD5C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6007A"/>
    <w:multiLevelType w:val="hybridMultilevel"/>
    <w:tmpl w:val="FA86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A5A74"/>
    <w:multiLevelType w:val="hybridMultilevel"/>
    <w:tmpl w:val="9BF821DC"/>
    <w:lvl w:ilvl="0" w:tplc="E05244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B585C"/>
    <w:multiLevelType w:val="hybridMultilevel"/>
    <w:tmpl w:val="31308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9511E"/>
    <w:multiLevelType w:val="hybridMultilevel"/>
    <w:tmpl w:val="52F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7723"/>
    <w:multiLevelType w:val="multilevel"/>
    <w:tmpl w:val="B688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86FA0"/>
    <w:multiLevelType w:val="multilevel"/>
    <w:tmpl w:val="5014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C95C52"/>
    <w:multiLevelType w:val="hybridMultilevel"/>
    <w:tmpl w:val="FD8C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F38F8"/>
    <w:multiLevelType w:val="multilevel"/>
    <w:tmpl w:val="6C02E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3C165B"/>
    <w:multiLevelType w:val="multilevel"/>
    <w:tmpl w:val="A1B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87728"/>
    <w:multiLevelType w:val="multilevel"/>
    <w:tmpl w:val="3AA05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724466"/>
    <w:multiLevelType w:val="hybridMultilevel"/>
    <w:tmpl w:val="7B94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9976F0"/>
    <w:multiLevelType w:val="multilevel"/>
    <w:tmpl w:val="58C0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E2889"/>
    <w:multiLevelType w:val="hybridMultilevel"/>
    <w:tmpl w:val="3772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C1AB0"/>
    <w:multiLevelType w:val="hybridMultilevel"/>
    <w:tmpl w:val="34421D24"/>
    <w:lvl w:ilvl="0" w:tplc="A82E6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55899"/>
    <w:multiLevelType w:val="hybridMultilevel"/>
    <w:tmpl w:val="528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9"/>
  </w:num>
  <w:num w:numId="5">
    <w:abstractNumId w:val="7"/>
  </w:num>
  <w:num w:numId="6">
    <w:abstractNumId w:val="1"/>
  </w:num>
  <w:num w:numId="7">
    <w:abstractNumId w:val="10"/>
  </w:num>
  <w:num w:numId="8">
    <w:abstractNumId w:val="8"/>
  </w:num>
  <w:num w:numId="9">
    <w:abstractNumId w:val="17"/>
  </w:num>
  <w:num w:numId="10">
    <w:abstractNumId w:val="12"/>
  </w:num>
  <w:num w:numId="11">
    <w:abstractNumId w:val="14"/>
  </w:num>
  <w:num w:numId="12">
    <w:abstractNumId w:val="2"/>
  </w:num>
  <w:num w:numId="13">
    <w:abstractNumId w:val="11"/>
  </w:num>
  <w:num w:numId="14">
    <w:abstractNumId w:val="3"/>
  </w:num>
  <w:num w:numId="15">
    <w:abstractNumId w:val="0"/>
  </w:num>
  <w:num w:numId="16">
    <w:abstractNumId w:val="15"/>
  </w:num>
  <w:num w:numId="17">
    <w:abstractNumId w:val="5"/>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DB"/>
    <w:rsid w:val="00030C3F"/>
    <w:rsid w:val="000748D6"/>
    <w:rsid w:val="0009327C"/>
    <w:rsid w:val="000C77DB"/>
    <w:rsid w:val="000D0084"/>
    <w:rsid w:val="000D7C2D"/>
    <w:rsid w:val="000F0029"/>
    <w:rsid w:val="00100A47"/>
    <w:rsid w:val="00147C7C"/>
    <w:rsid w:val="00173D9C"/>
    <w:rsid w:val="001A187B"/>
    <w:rsid w:val="001A6318"/>
    <w:rsid w:val="001B0587"/>
    <w:rsid w:val="001F05F8"/>
    <w:rsid w:val="00207962"/>
    <w:rsid w:val="00217A63"/>
    <w:rsid w:val="00224D4D"/>
    <w:rsid w:val="00227DD2"/>
    <w:rsid w:val="00241304"/>
    <w:rsid w:val="00292071"/>
    <w:rsid w:val="002D106F"/>
    <w:rsid w:val="002D63BA"/>
    <w:rsid w:val="002E562B"/>
    <w:rsid w:val="003019EA"/>
    <w:rsid w:val="003364A6"/>
    <w:rsid w:val="00340189"/>
    <w:rsid w:val="003411A1"/>
    <w:rsid w:val="00376FDA"/>
    <w:rsid w:val="00382C29"/>
    <w:rsid w:val="00390456"/>
    <w:rsid w:val="003B35D3"/>
    <w:rsid w:val="003E121B"/>
    <w:rsid w:val="003E2842"/>
    <w:rsid w:val="003F59CC"/>
    <w:rsid w:val="004233AA"/>
    <w:rsid w:val="00453094"/>
    <w:rsid w:val="00484312"/>
    <w:rsid w:val="004920C9"/>
    <w:rsid w:val="0049505B"/>
    <w:rsid w:val="004B4086"/>
    <w:rsid w:val="004B492E"/>
    <w:rsid w:val="0055615C"/>
    <w:rsid w:val="0056145C"/>
    <w:rsid w:val="00575218"/>
    <w:rsid w:val="00575785"/>
    <w:rsid w:val="00580C5C"/>
    <w:rsid w:val="0058105D"/>
    <w:rsid w:val="00586465"/>
    <w:rsid w:val="0059234D"/>
    <w:rsid w:val="005D12A2"/>
    <w:rsid w:val="00601C3C"/>
    <w:rsid w:val="00601D73"/>
    <w:rsid w:val="006358B0"/>
    <w:rsid w:val="00651B84"/>
    <w:rsid w:val="00680560"/>
    <w:rsid w:val="00681455"/>
    <w:rsid w:val="006844A5"/>
    <w:rsid w:val="006A6C30"/>
    <w:rsid w:val="006C140E"/>
    <w:rsid w:val="006D285C"/>
    <w:rsid w:val="006E6CB7"/>
    <w:rsid w:val="006F4D24"/>
    <w:rsid w:val="006F7B4E"/>
    <w:rsid w:val="007113B8"/>
    <w:rsid w:val="0076288A"/>
    <w:rsid w:val="00766E98"/>
    <w:rsid w:val="007A07ED"/>
    <w:rsid w:val="007A1C56"/>
    <w:rsid w:val="007B5633"/>
    <w:rsid w:val="007E5605"/>
    <w:rsid w:val="00811E0C"/>
    <w:rsid w:val="00824D23"/>
    <w:rsid w:val="008263C9"/>
    <w:rsid w:val="008544FC"/>
    <w:rsid w:val="0085714A"/>
    <w:rsid w:val="008723C5"/>
    <w:rsid w:val="00873096"/>
    <w:rsid w:val="008848D5"/>
    <w:rsid w:val="008A0CA6"/>
    <w:rsid w:val="008C3B0A"/>
    <w:rsid w:val="008D13E1"/>
    <w:rsid w:val="008D1458"/>
    <w:rsid w:val="008E3304"/>
    <w:rsid w:val="009051D0"/>
    <w:rsid w:val="009168FF"/>
    <w:rsid w:val="00976D54"/>
    <w:rsid w:val="009A495A"/>
    <w:rsid w:val="009B6766"/>
    <w:rsid w:val="009D0550"/>
    <w:rsid w:val="009E79EC"/>
    <w:rsid w:val="009F06A0"/>
    <w:rsid w:val="00A2610A"/>
    <w:rsid w:val="00A46126"/>
    <w:rsid w:val="00A67491"/>
    <w:rsid w:val="00A85FFD"/>
    <w:rsid w:val="00A941D3"/>
    <w:rsid w:val="00A971E1"/>
    <w:rsid w:val="00AC4182"/>
    <w:rsid w:val="00AD38DA"/>
    <w:rsid w:val="00AE069B"/>
    <w:rsid w:val="00B44D95"/>
    <w:rsid w:val="00B65CEF"/>
    <w:rsid w:val="00B95D0F"/>
    <w:rsid w:val="00BA75B1"/>
    <w:rsid w:val="00BC6564"/>
    <w:rsid w:val="00BE2D44"/>
    <w:rsid w:val="00BE5792"/>
    <w:rsid w:val="00BF2ECF"/>
    <w:rsid w:val="00C065C4"/>
    <w:rsid w:val="00C32569"/>
    <w:rsid w:val="00C3711C"/>
    <w:rsid w:val="00C5709E"/>
    <w:rsid w:val="00C72F67"/>
    <w:rsid w:val="00C94C81"/>
    <w:rsid w:val="00C95CC3"/>
    <w:rsid w:val="00CE48D2"/>
    <w:rsid w:val="00CE6086"/>
    <w:rsid w:val="00CF3E08"/>
    <w:rsid w:val="00D00D28"/>
    <w:rsid w:val="00D06FEA"/>
    <w:rsid w:val="00D3209F"/>
    <w:rsid w:val="00D35CCB"/>
    <w:rsid w:val="00D37AD1"/>
    <w:rsid w:val="00D52CC6"/>
    <w:rsid w:val="00D93675"/>
    <w:rsid w:val="00DB6CEF"/>
    <w:rsid w:val="00DC4E7A"/>
    <w:rsid w:val="00DD2E7C"/>
    <w:rsid w:val="00E23B42"/>
    <w:rsid w:val="00E35083"/>
    <w:rsid w:val="00E377F1"/>
    <w:rsid w:val="00E74B61"/>
    <w:rsid w:val="00E77C6D"/>
    <w:rsid w:val="00EA4706"/>
    <w:rsid w:val="00EC4465"/>
    <w:rsid w:val="00EC610B"/>
    <w:rsid w:val="00ED038F"/>
    <w:rsid w:val="00EE5435"/>
    <w:rsid w:val="00EF7FA0"/>
    <w:rsid w:val="00F0051F"/>
    <w:rsid w:val="00F10B75"/>
    <w:rsid w:val="00F212E2"/>
    <w:rsid w:val="00F4036D"/>
    <w:rsid w:val="00F5639E"/>
    <w:rsid w:val="00FC3CF7"/>
    <w:rsid w:val="00FD3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C707"/>
  <w15:chartTrackingRefBased/>
  <w15:docId w15:val="{8D17C5D7-88DF-40F8-A756-9A3EF51A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168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7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7D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57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792"/>
  </w:style>
  <w:style w:type="paragraph" w:styleId="Footer">
    <w:name w:val="footer"/>
    <w:basedOn w:val="Normal"/>
    <w:link w:val="FooterChar"/>
    <w:uiPriority w:val="99"/>
    <w:unhideWhenUsed/>
    <w:rsid w:val="00BE57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792"/>
  </w:style>
  <w:style w:type="table" w:styleId="TableGrid">
    <w:name w:val="Table Grid"/>
    <w:basedOn w:val="TableNormal"/>
    <w:uiPriority w:val="39"/>
    <w:rsid w:val="00BE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68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68FF"/>
    <w:rPr>
      <w:color w:val="0000FF"/>
      <w:u w:val="single"/>
    </w:rPr>
  </w:style>
  <w:style w:type="paragraph" w:customStyle="1" w:styleId="comp">
    <w:name w:val="comp"/>
    <w:basedOn w:val="Normal"/>
    <w:rsid w:val="0068145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6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766"/>
    <w:rPr>
      <w:sz w:val="20"/>
      <w:szCs w:val="20"/>
    </w:rPr>
  </w:style>
  <w:style w:type="character" w:styleId="FootnoteReference">
    <w:name w:val="footnote reference"/>
    <w:basedOn w:val="DefaultParagraphFont"/>
    <w:uiPriority w:val="99"/>
    <w:semiHidden/>
    <w:unhideWhenUsed/>
    <w:rsid w:val="009B6766"/>
    <w:rPr>
      <w:vertAlign w:val="superscript"/>
    </w:rPr>
  </w:style>
  <w:style w:type="character" w:customStyle="1" w:styleId="Heading1Char">
    <w:name w:val="Heading 1 Char"/>
    <w:basedOn w:val="DefaultParagraphFont"/>
    <w:link w:val="Heading1"/>
    <w:uiPriority w:val="9"/>
    <w:rsid w:val="008D145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2E7C"/>
    <w:pPr>
      <w:spacing w:line="252" w:lineRule="auto"/>
      <w:ind w:left="720"/>
      <w:contextualSpacing/>
      <w:jc w:val="both"/>
    </w:pPr>
    <w:rPr>
      <w:rFonts w:ascii="Calibri" w:eastAsia="Calibri" w:hAnsi="Calibri" w:cs="Calibri"/>
    </w:rPr>
  </w:style>
  <w:style w:type="character" w:styleId="CommentReference">
    <w:name w:val="annotation reference"/>
    <w:basedOn w:val="DefaultParagraphFont"/>
    <w:uiPriority w:val="99"/>
    <w:semiHidden/>
    <w:unhideWhenUsed/>
    <w:rsid w:val="001A187B"/>
    <w:rPr>
      <w:sz w:val="16"/>
      <w:szCs w:val="16"/>
    </w:rPr>
  </w:style>
  <w:style w:type="paragraph" w:styleId="CommentText">
    <w:name w:val="annotation text"/>
    <w:basedOn w:val="Normal"/>
    <w:link w:val="CommentTextChar"/>
    <w:uiPriority w:val="99"/>
    <w:semiHidden/>
    <w:unhideWhenUsed/>
    <w:rsid w:val="001A187B"/>
    <w:pPr>
      <w:spacing w:line="240" w:lineRule="auto"/>
    </w:pPr>
    <w:rPr>
      <w:sz w:val="20"/>
      <w:szCs w:val="20"/>
    </w:rPr>
  </w:style>
  <w:style w:type="character" w:customStyle="1" w:styleId="CommentTextChar">
    <w:name w:val="Comment Text Char"/>
    <w:basedOn w:val="DefaultParagraphFont"/>
    <w:link w:val="CommentText"/>
    <w:uiPriority w:val="99"/>
    <w:semiHidden/>
    <w:rsid w:val="001A187B"/>
    <w:rPr>
      <w:sz w:val="20"/>
      <w:szCs w:val="20"/>
    </w:rPr>
  </w:style>
  <w:style w:type="paragraph" w:styleId="CommentSubject">
    <w:name w:val="annotation subject"/>
    <w:basedOn w:val="CommentText"/>
    <w:next w:val="CommentText"/>
    <w:link w:val="CommentSubjectChar"/>
    <w:uiPriority w:val="99"/>
    <w:semiHidden/>
    <w:unhideWhenUsed/>
    <w:rsid w:val="001A187B"/>
    <w:rPr>
      <w:b/>
      <w:bCs/>
    </w:rPr>
  </w:style>
  <w:style w:type="character" w:customStyle="1" w:styleId="CommentSubjectChar">
    <w:name w:val="Comment Subject Char"/>
    <w:basedOn w:val="CommentTextChar"/>
    <w:link w:val="CommentSubject"/>
    <w:uiPriority w:val="99"/>
    <w:semiHidden/>
    <w:rsid w:val="001A187B"/>
    <w:rPr>
      <w:b/>
      <w:bCs/>
      <w:sz w:val="20"/>
      <w:szCs w:val="20"/>
    </w:rPr>
  </w:style>
  <w:style w:type="paragraph" w:styleId="BalloonText">
    <w:name w:val="Balloon Text"/>
    <w:basedOn w:val="Normal"/>
    <w:link w:val="BalloonTextChar"/>
    <w:uiPriority w:val="99"/>
    <w:semiHidden/>
    <w:unhideWhenUsed/>
    <w:rsid w:val="001A1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6579">
      <w:bodyDiv w:val="1"/>
      <w:marLeft w:val="0"/>
      <w:marRight w:val="0"/>
      <w:marTop w:val="0"/>
      <w:marBottom w:val="0"/>
      <w:divBdr>
        <w:top w:val="none" w:sz="0" w:space="0" w:color="auto"/>
        <w:left w:val="none" w:sz="0" w:space="0" w:color="auto"/>
        <w:bottom w:val="none" w:sz="0" w:space="0" w:color="auto"/>
        <w:right w:val="none" w:sz="0" w:space="0" w:color="auto"/>
      </w:divBdr>
      <w:divsChild>
        <w:div w:id="1388332347">
          <w:marLeft w:val="0"/>
          <w:marRight w:val="0"/>
          <w:marTop w:val="0"/>
          <w:marBottom w:val="0"/>
          <w:divBdr>
            <w:top w:val="none" w:sz="0" w:space="0" w:color="auto"/>
            <w:left w:val="none" w:sz="0" w:space="0" w:color="auto"/>
            <w:bottom w:val="none" w:sz="0" w:space="0" w:color="auto"/>
            <w:right w:val="none" w:sz="0" w:space="0" w:color="auto"/>
          </w:divBdr>
        </w:div>
      </w:divsChild>
    </w:div>
    <w:div w:id="427505959">
      <w:bodyDiv w:val="1"/>
      <w:marLeft w:val="0"/>
      <w:marRight w:val="0"/>
      <w:marTop w:val="0"/>
      <w:marBottom w:val="0"/>
      <w:divBdr>
        <w:top w:val="none" w:sz="0" w:space="0" w:color="auto"/>
        <w:left w:val="none" w:sz="0" w:space="0" w:color="auto"/>
        <w:bottom w:val="none" w:sz="0" w:space="0" w:color="auto"/>
        <w:right w:val="none" w:sz="0" w:space="0" w:color="auto"/>
      </w:divBdr>
    </w:div>
    <w:div w:id="5174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72EC3-9D53-4EDA-B1E5-6F47B2A80FB4}"/>
</file>

<file path=customXml/itemProps2.xml><?xml version="1.0" encoding="utf-8"?>
<ds:datastoreItem xmlns:ds="http://schemas.openxmlformats.org/officeDocument/2006/customXml" ds:itemID="{94BE7C9C-8EE9-4862-8960-C6FFFB097C6E}"/>
</file>

<file path=customXml/itemProps3.xml><?xml version="1.0" encoding="utf-8"?>
<ds:datastoreItem xmlns:ds="http://schemas.openxmlformats.org/officeDocument/2006/customXml" ds:itemID="{88846CCD-2216-4BB8-B03F-9B6C1D2E80AD}"/>
</file>

<file path=customXml/itemProps4.xml><?xml version="1.0" encoding="utf-8"?>
<ds:datastoreItem xmlns:ds="http://schemas.openxmlformats.org/officeDocument/2006/customXml" ds:itemID="{941A1ADA-4A7B-4381-9718-6EA9DA88D54C}"/>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Khadr</dc:creator>
  <cp:keywords/>
  <dc:description/>
  <cp:lastModifiedBy>Zeinabk</cp:lastModifiedBy>
  <cp:revision>2</cp:revision>
  <dcterms:created xsi:type="dcterms:W3CDTF">2021-11-01T13:11:00Z</dcterms:created>
  <dcterms:modified xsi:type="dcterms:W3CDTF">2021-11-01T13:11:00Z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