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DBD0" w14:textId="77777777" w:rsidR="001D5E6D" w:rsidRPr="000A3297" w:rsidRDefault="001D5E6D" w:rsidP="001D5E6D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5388"/>
      </w:tblGrid>
      <w:tr w:rsidR="001D5E6D" w:rsidRPr="000A3297" w14:paraId="1D34538F" w14:textId="77777777" w:rsidTr="00B95AC7">
        <w:trPr>
          <w:trHeight w:val="237"/>
        </w:trPr>
        <w:tc>
          <w:tcPr>
            <w:tcW w:w="3965" w:type="dxa"/>
            <w:tcMar>
              <w:top w:w="84" w:type="dxa"/>
              <w:left w:w="120" w:type="dxa"/>
              <w:bottom w:w="84" w:type="dxa"/>
              <w:right w:w="120" w:type="dxa"/>
            </w:tcMar>
            <w:hideMark/>
          </w:tcPr>
          <w:p w14:paraId="477C7036" w14:textId="77777777" w:rsidR="001D5E6D" w:rsidRPr="000A3297" w:rsidRDefault="001D5E6D" w:rsidP="00AE1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Policy Title</w:t>
            </w:r>
          </w:p>
        </w:tc>
        <w:tc>
          <w:tcPr>
            <w:tcW w:w="5388" w:type="dxa"/>
            <w:tcMar>
              <w:top w:w="84" w:type="dxa"/>
              <w:left w:w="120" w:type="dxa"/>
              <w:bottom w:w="84" w:type="dxa"/>
              <w:right w:w="120" w:type="dxa"/>
            </w:tcMar>
            <w:hideMark/>
          </w:tcPr>
          <w:p w14:paraId="0BE9A38F" w14:textId="77777777" w:rsidR="001D5E6D" w:rsidRPr="000A3297" w:rsidRDefault="001D5E6D" w:rsidP="00AE1C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[</w:t>
            </w:r>
            <w:r w:rsidRPr="000A3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Official title of policy]</w:t>
            </w:r>
          </w:p>
        </w:tc>
      </w:tr>
      <w:tr w:rsidR="001D5E6D" w:rsidRPr="000A3297" w14:paraId="74BEC08C" w14:textId="77777777" w:rsidTr="00B95AC7">
        <w:trPr>
          <w:trHeight w:val="1187"/>
        </w:trPr>
        <w:tc>
          <w:tcPr>
            <w:tcW w:w="3965" w:type="dxa"/>
            <w:tcMar>
              <w:top w:w="84" w:type="dxa"/>
              <w:left w:w="120" w:type="dxa"/>
              <w:bottom w:w="84" w:type="dxa"/>
              <w:right w:w="120" w:type="dxa"/>
            </w:tcMar>
          </w:tcPr>
          <w:p w14:paraId="7B7647AC" w14:textId="77777777" w:rsidR="001D5E6D" w:rsidRPr="000A3297" w:rsidRDefault="001D5E6D" w:rsidP="00AE1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Responsible Un</w:t>
            </w:r>
            <w:bookmarkStart w:id="0" w:name="_GoBack"/>
            <w:bookmarkEnd w:id="0"/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iversity Office</w:t>
            </w:r>
            <w:r w:rsidRPr="000A3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0"/>
                <w:szCs w:val="20"/>
                <w:lang w:eastAsia="zh-CN"/>
              </w:rPr>
              <w:t>  </w:t>
            </w:r>
          </w:p>
        </w:tc>
        <w:tc>
          <w:tcPr>
            <w:tcW w:w="5388" w:type="dxa"/>
            <w:tcMar>
              <w:top w:w="84" w:type="dxa"/>
              <w:left w:w="120" w:type="dxa"/>
              <w:bottom w:w="84" w:type="dxa"/>
              <w:right w:w="120" w:type="dxa"/>
            </w:tcMar>
          </w:tcPr>
          <w:p w14:paraId="03A89091" w14:textId="77777777" w:rsidR="001D5E6D" w:rsidRPr="000A3297" w:rsidRDefault="001D5E6D" w:rsidP="00AE1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[U</w:t>
            </w:r>
            <w:r w:rsidRPr="000A3297">
              <w:rPr>
                <w:rFonts w:ascii="Times New Roman" w:eastAsia="Garamond" w:hAnsi="Times New Roman" w:cs="Times New Roman"/>
                <w:color w:val="000000" w:themeColor="text1"/>
                <w:sz w:val="20"/>
                <w:szCs w:val="20"/>
              </w:rPr>
              <w:t>nder the direction of the Policy Owner, the Responsible University Office will develop and administer a particular policy and procedures and will be accountable for the accuracy of its subject matter, its issuance, regular review and timely updating.]</w:t>
            </w:r>
          </w:p>
        </w:tc>
      </w:tr>
      <w:tr w:rsidR="001D5E6D" w:rsidRPr="000A3297" w14:paraId="1A2A3098" w14:textId="77777777" w:rsidTr="007F350A">
        <w:trPr>
          <w:trHeight w:val="1157"/>
        </w:trPr>
        <w:tc>
          <w:tcPr>
            <w:tcW w:w="3965" w:type="dxa"/>
            <w:tcMar>
              <w:top w:w="84" w:type="dxa"/>
              <w:left w:w="120" w:type="dxa"/>
              <w:bottom w:w="84" w:type="dxa"/>
              <w:right w:w="120" w:type="dxa"/>
            </w:tcMar>
            <w:hideMark/>
          </w:tcPr>
          <w:p w14:paraId="54EDABB3" w14:textId="77777777" w:rsidR="001D5E6D" w:rsidRPr="000A3297" w:rsidRDefault="001D5E6D" w:rsidP="00AE1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Policy Owner</w:t>
            </w:r>
            <w:r w:rsidRPr="000A3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88" w:type="dxa"/>
            <w:tcMar>
              <w:top w:w="84" w:type="dxa"/>
              <w:left w:w="120" w:type="dxa"/>
              <w:bottom w:w="84" w:type="dxa"/>
              <w:right w:w="120" w:type="dxa"/>
            </w:tcMar>
            <w:hideMark/>
          </w:tcPr>
          <w:p w14:paraId="3CE0E126" w14:textId="77777777" w:rsidR="00B95AC7" w:rsidRPr="00B95AC7" w:rsidRDefault="001D5E6D" w:rsidP="00B95AC7">
            <w:pPr>
              <w:rPr>
                <w:rFonts w:ascii="Times New Roman" w:eastAsia="Garamond" w:hAnsi="Times New Roman" w:cs="Times New Roman"/>
                <w:color w:val="000000" w:themeColor="text1"/>
                <w:sz w:val="20"/>
                <w:szCs w:val="20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[T</w:t>
            </w:r>
            <w:r w:rsidRPr="000A3297">
              <w:rPr>
                <w:rFonts w:ascii="Times New Roman" w:eastAsia="Garamond" w:hAnsi="Times New Roman" w:cs="Times New Roman"/>
                <w:color w:val="000000" w:themeColor="text1"/>
                <w:sz w:val="20"/>
                <w:szCs w:val="20"/>
              </w:rPr>
              <w:t xml:space="preserve">he individual accountable for and charged with the responsibility for creating, sponsoring, implementing, enforcing, and updating the subject University policy, and developing/recommending relevant communication, education, and </w:t>
            </w:r>
            <w:r w:rsidR="00B95AC7">
              <w:rPr>
                <w:rFonts w:ascii="Times New Roman" w:eastAsia="Garamond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0A3297">
              <w:rPr>
                <w:rFonts w:ascii="Times New Roman" w:eastAsia="Garamond" w:hAnsi="Times New Roman" w:cs="Times New Roman"/>
                <w:color w:val="000000" w:themeColor="text1"/>
                <w:sz w:val="20"/>
                <w:szCs w:val="20"/>
              </w:rPr>
              <w:t>raining and monitoring the effectiveness of a policy.</w:t>
            </w:r>
            <w:r w:rsidR="00B95AC7">
              <w:rPr>
                <w:rFonts w:ascii="Times New Roman" w:eastAsia="Garamond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</w:tr>
      <w:tr w:rsidR="001D5E6D" w:rsidRPr="000A3297" w14:paraId="5B0FFDBC" w14:textId="77777777" w:rsidTr="00B95AC7">
        <w:trPr>
          <w:trHeight w:val="267"/>
        </w:trPr>
        <w:tc>
          <w:tcPr>
            <w:tcW w:w="3965" w:type="dxa"/>
            <w:tcMar>
              <w:top w:w="84" w:type="dxa"/>
              <w:left w:w="120" w:type="dxa"/>
              <w:bottom w:w="84" w:type="dxa"/>
              <w:right w:w="120" w:type="dxa"/>
            </w:tcMar>
            <w:hideMark/>
          </w:tcPr>
          <w:p w14:paraId="5F96FD20" w14:textId="77777777" w:rsidR="001D5E6D" w:rsidRPr="000A3297" w:rsidRDefault="001D5E6D" w:rsidP="00AE1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Pertinent Dates </w:t>
            </w:r>
          </w:p>
        </w:tc>
        <w:tc>
          <w:tcPr>
            <w:tcW w:w="5388" w:type="dxa"/>
            <w:tcMar>
              <w:top w:w="84" w:type="dxa"/>
              <w:left w:w="120" w:type="dxa"/>
              <w:bottom w:w="84" w:type="dxa"/>
              <w:right w:w="120" w:type="dxa"/>
            </w:tcMar>
            <w:hideMark/>
          </w:tcPr>
          <w:p w14:paraId="3E79A086" w14:textId="4EE2DEB1" w:rsidR="001D5E6D" w:rsidRPr="000A3297" w:rsidRDefault="001D5E6D" w:rsidP="00AE1C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[Dates the policy was revised, approved, and </w:t>
            </w:r>
            <w:r w:rsidR="00644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became</w:t>
            </w:r>
            <w:r w:rsidRPr="000A32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effective.]</w:t>
            </w:r>
          </w:p>
        </w:tc>
      </w:tr>
    </w:tbl>
    <w:p w14:paraId="0F85F2F6" w14:textId="77777777" w:rsidR="001D5E6D" w:rsidRPr="000A3297" w:rsidRDefault="001D5E6D" w:rsidP="001D5E6D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0C67CCB" w14:textId="77777777" w:rsidR="001D5E6D" w:rsidRPr="000A3297" w:rsidRDefault="00053EF4" w:rsidP="001D5E6D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21D0A0FA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79AE3EC6" w14:textId="77777777" w:rsidR="001D5E6D" w:rsidRPr="000A3297" w:rsidRDefault="001D5E6D" w:rsidP="001D5E6D">
      <w:pPr>
        <w:pStyle w:val="ListParagraph"/>
        <w:numPr>
          <w:ilvl w:val="0"/>
          <w:numId w:val="1"/>
        </w:numPr>
        <w:jc w:val="both"/>
        <w:rPr>
          <w:rFonts w:ascii="Times New Roman" w:eastAsia="Garamond" w:hAnsi="Times New Roman" w:cs="Times New Roman"/>
          <w:b/>
          <w:color w:val="000000"/>
          <w:sz w:val="22"/>
          <w:szCs w:val="22"/>
        </w:rPr>
      </w:pPr>
      <w:r w:rsidRPr="000A3297">
        <w:rPr>
          <w:rFonts w:ascii="Times New Roman" w:eastAsia="Garamond" w:hAnsi="Times New Roman" w:cs="Times New Roman"/>
          <w:b/>
          <w:color w:val="000000"/>
          <w:sz w:val="22"/>
          <w:szCs w:val="22"/>
        </w:rPr>
        <w:t>SCOPE OF POLICY</w:t>
      </w:r>
    </w:p>
    <w:p w14:paraId="2CAB39A0" w14:textId="77777777" w:rsidR="001D5E6D" w:rsidRPr="000A3297" w:rsidRDefault="00053EF4" w:rsidP="001D5E6D">
      <w:pPr>
        <w:jc w:val="both"/>
        <w:rPr>
          <w:rFonts w:ascii="Times New Roman" w:eastAsia="Garamond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62C88847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3FCE872B" w14:textId="77777777" w:rsidR="000A3297" w:rsidRPr="000A3297" w:rsidRDefault="000A3297" w:rsidP="001D5E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244081" w14:textId="77777777" w:rsidR="000A3297" w:rsidRPr="000A3297" w:rsidRDefault="001D5E6D" w:rsidP="001D5E6D">
      <w:pPr>
        <w:jc w:val="both"/>
        <w:rPr>
          <w:rFonts w:ascii="Times New Roman" w:hAnsi="Times New Roman" w:cs="Times New Roman"/>
          <w:sz w:val="22"/>
          <w:szCs w:val="22"/>
        </w:rPr>
      </w:pPr>
      <w:r w:rsidRPr="000A3297">
        <w:rPr>
          <w:rFonts w:ascii="Times New Roman" w:hAnsi="Times New Roman" w:cs="Times New Roman"/>
          <w:sz w:val="22"/>
          <w:szCs w:val="22"/>
        </w:rPr>
        <w:t xml:space="preserve">[States the legitimate interests of all parties, describes the problem or conflict the policy addresses, and cites </w:t>
      </w:r>
    </w:p>
    <w:p w14:paraId="16CB846F" w14:textId="77777777" w:rsidR="001D5E6D" w:rsidRPr="000A3297" w:rsidRDefault="001D5E6D" w:rsidP="001D5E6D">
      <w:pPr>
        <w:jc w:val="both"/>
        <w:rPr>
          <w:rFonts w:ascii="Times New Roman" w:hAnsi="Times New Roman" w:cs="Times New Roman"/>
          <w:sz w:val="22"/>
          <w:szCs w:val="22"/>
        </w:rPr>
      </w:pPr>
      <w:r w:rsidRPr="000A3297">
        <w:rPr>
          <w:rFonts w:ascii="Times New Roman" w:hAnsi="Times New Roman" w:cs="Times New Roman"/>
          <w:sz w:val="22"/>
          <w:szCs w:val="22"/>
        </w:rPr>
        <w:t>any legal or regulatory reasons for the policy.]</w:t>
      </w:r>
    </w:p>
    <w:p w14:paraId="18A45BA3" w14:textId="77777777" w:rsidR="001D5E6D" w:rsidRPr="000A3297" w:rsidRDefault="001D5E6D" w:rsidP="001D5E6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5C305D" w14:textId="77777777" w:rsidR="001D5E6D" w:rsidRPr="000A3297" w:rsidRDefault="00053EF4" w:rsidP="001D5E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061E669C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0FB849D0" w14:textId="77777777" w:rsidR="001D5E6D" w:rsidRPr="000A3297" w:rsidRDefault="001D5E6D" w:rsidP="001D5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3297">
        <w:rPr>
          <w:rFonts w:ascii="Times New Roman" w:eastAsia="Garamond" w:hAnsi="Times New Roman" w:cs="Times New Roman"/>
          <w:b/>
          <w:color w:val="000000"/>
          <w:sz w:val="22"/>
          <w:szCs w:val="22"/>
        </w:rPr>
        <w:t>DEFINITIONS</w:t>
      </w:r>
    </w:p>
    <w:p w14:paraId="2BF464F0" w14:textId="77777777" w:rsidR="001D5E6D" w:rsidRPr="000A3297" w:rsidRDefault="00053EF4" w:rsidP="001D5E6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2B3ADE83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59D123C0" w14:textId="77777777" w:rsidR="000A3297" w:rsidRPr="000A3297" w:rsidRDefault="000A3297" w:rsidP="001D5E6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55716A" w14:textId="77777777" w:rsidR="001D5E6D" w:rsidRPr="000A3297" w:rsidRDefault="001D5E6D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sz w:val="22"/>
          <w:szCs w:val="22"/>
        </w:rPr>
        <w:t>[Provides glossary to define terms that may be unfamiliar or have a specialized meaning in the policy.]</w:t>
      </w:r>
    </w:p>
    <w:p w14:paraId="33ECC23B" w14:textId="77777777" w:rsidR="001D5E6D" w:rsidRPr="000A3297" w:rsidRDefault="001D5E6D" w:rsidP="001D5E6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CE4194B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506A14B8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75AB0D23" w14:textId="77777777" w:rsidR="001D5E6D" w:rsidRPr="000A3297" w:rsidRDefault="001D5E6D" w:rsidP="00B95A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b/>
          <w:bCs/>
          <w:sz w:val="22"/>
          <w:szCs w:val="22"/>
        </w:rPr>
        <w:t>POLICY STATEMENT</w:t>
      </w:r>
    </w:p>
    <w:p w14:paraId="3E23EF13" w14:textId="77777777" w:rsidR="001D5E6D" w:rsidRPr="000A3297" w:rsidRDefault="00053EF4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5B0862EE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3979362" w14:textId="77777777" w:rsidR="000A3297" w:rsidRPr="000A3297" w:rsidRDefault="000A3297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FDC428" w14:textId="50EA3D61" w:rsidR="001D5E6D" w:rsidRPr="000A3297" w:rsidRDefault="001D5E6D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sz w:val="22"/>
          <w:szCs w:val="22"/>
        </w:rPr>
        <w:t xml:space="preserve">[This is a concise statement of the university's position on the subject matter and may state who should follow the policy, when the policy applies, </w:t>
      </w:r>
      <w:r w:rsidR="007F350A">
        <w:rPr>
          <w:rFonts w:ascii="Times New Roman" w:eastAsia="Times New Roman" w:hAnsi="Times New Roman" w:cs="Times New Roman"/>
          <w:sz w:val="22"/>
          <w:szCs w:val="22"/>
        </w:rPr>
        <w:t xml:space="preserve">the means by which the policy is implemented or enforced, </w:t>
      </w:r>
      <w:r w:rsidRPr="000A3297">
        <w:rPr>
          <w:rFonts w:ascii="Times New Roman" w:eastAsia="Times New Roman" w:hAnsi="Times New Roman" w:cs="Times New Roman"/>
          <w:sz w:val="22"/>
          <w:szCs w:val="22"/>
        </w:rPr>
        <w:t>and list any major conditions or restrictions.</w:t>
      </w:r>
      <w:r w:rsidR="007F35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297">
        <w:rPr>
          <w:rFonts w:ascii="Times New Roman" w:eastAsia="Times New Roman" w:hAnsi="Times New Roman" w:cs="Times New Roman"/>
          <w:sz w:val="22"/>
          <w:szCs w:val="22"/>
        </w:rPr>
        <w:t>Language should be clear and concise and contain sufficient information on the subject without being excessive in length.]</w:t>
      </w:r>
    </w:p>
    <w:p w14:paraId="6A5B1D27" w14:textId="77777777" w:rsidR="001D5E6D" w:rsidRPr="000A3297" w:rsidRDefault="001D5E6D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7A4D37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7BCE4D23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22F10DF9" w14:textId="77777777" w:rsidR="001D5E6D" w:rsidRPr="000A3297" w:rsidRDefault="001D5E6D" w:rsidP="001D5E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b/>
          <w:bCs/>
          <w:sz w:val="22"/>
          <w:szCs w:val="22"/>
        </w:rPr>
        <w:t>RESPONSIBILITIES</w:t>
      </w:r>
    </w:p>
    <w:p w14:paraId="14B1DEE1" w14:textId="77777777" w:rsidR="001D5E6D" w:rsidRPr="000A3297" w:rsidRDefault="00053EF4" w:rsidP="001D5E6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19402D81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6C013EA" w14:textId="77777777" w:rsidR="000A3297" w:rsidRPr="000A3297" w:rsidRDefault="000A3297" w:rsidP="001D5E6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1C8B800" w14:textId="77777777" w:rsidR="001D5E6D" w:rsidRPr="000A3297" w:rsidRDefault="001D5E6D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sz w:val="22"/>
          <w:szCs w:val="22"/>
        </w:rPr>
        <w:t>[List the individual roles or units who are responsible for some portion of policy implementation and related processes (e.g.  faculty, students, operating units, departments, managers, etc.). Summarize the major responsibilities/key actions of each. Details can be provided separately in the procedures section.]</w:t>
      </w:r>
    </w:p>
    <w:p w14:paraId="5C47901F" w14:textId="77777777" w:rsidR="001D5E6D" w:rsidRPr="000A3297" w:rsidRDefault="001D5E6D" w:rsidP="001D5E6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70D0F9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01AB1433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30DC6E2" w14:textId="77777777" w:rsidR="001D5E6D" w:rsidRPr="000A3297" w:rsidRDefault="001D5E6D" w:rsidP="001D5E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b/>
          <w:bCs/>
          <w:sz w:val="22"/>
          <w:szCs w:val="22"/>
        </w:rPr>
        <w:t>POLICY STANDARDS AND PROCEDURES</w:t>
      </w:r>
    </w:p>
    <w:p w14:paraId="0293B18F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7FB182DF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770F6C2D" w14:textId="77777777" w:rsidR="000A3297" w:rsidRPr="000A3297" w:rsidRDefault="000A3297" w:rsidP="001D5E6D">
      <w:pPr>
        <w:rPr>
          <w:rFonts w:ascii="Times New Roman" w:hAnsi="Times New Roman" w:cs="Times New Roman"/>
          <w:sz w:val="22"/>
          <w:szCs w:val="22"/>
        </w:rPr>
      </w:pPr>
    </w:p>
    <w:p w14:paraId="25B5E127" w14:textId="161311DB" w:rsidR="001D5E6D" w:rsidRPr="000A3297" w:rsidRDefault="001D5E6D" w:rsidP="001D5E6D">
      <w:pPr>
        <w:rPr>
          <w:rFonts w:ascii="Times New Roman" w:hAnsi="Times New Roman" w:cs="Times New Roman"/>
          <w:sz w:val="22"/>
          <w:szCs w:val="22"/>
        </w:rPr>
      </w:pPr>
      <w:r w:rsidRPr="000A3297">
        <w:rPr>
          <w:rFonts w:ascii="Times New Roman" w:hAnsi="Times New Roman" w:cs="Times New Roman"/>
          <w:sz w:val="22"/>
          <w:szCs w:val="22"/>
        </w:rPr>
        <w:lastRenderedPageBreak/>
        <w:t>[The section contains the full text of the policy, including detailed information about the policy components</w:t>
      </w:r>
      <w:r w:rsidR="007F350A">
        <w:rPr>
          <w:rFonts w:ascii="Times New Roman" w:hAnsi="Times New Roman" w:cs="Times New Roman"/>
          <w:sz w:val="22"/>
          <w:szCs w:val="22"/>
        </w:rPr>
        <w:t xml:space="preserve"> and procedures</w:t>
      </w:r>
      <w:r w:rsidRPr="000A3297">
        <w:rPr>
          <w:rFonts w:ascii="Times New Roman" w:hAnsi="Times New Roman" w:cs="Times New Roman"/>
          <w:sz w:val="22"/>
          <w:szCs w:val="22"/>
        </w:rPr>
        <w:t>.]</w:t>
      </w:r>
    </w:p>
    <w:p w14:paraId="4D8B67D0" w14:textId="77777777" w:rsidR="001D5E6D" w:rsidRPr="000A3297" w:rsidRDefault="001D5E6D" w:rsidP="001D5E6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1A7DD0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29FF59D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B5979F1" w14:textId="77777777" w:rsidR="001D5E6D" w:rsidRPr="000A3297" w:rsidRDefault="001D5E6D" w:rsidP="001D5E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b/>
          <w:bCs/>
          <w:sz w:val="22"/>
          <w:szCs w:val="22"/>
        </w:rPr>
        <w:t>FORMS/INSTRUCTIONS (if applicable)</w:t>
      </w:r>
    </w:p>
    <w:p w14:paraId="22A7E340" w14:textId="77777777" w:rsidR="001D5E6D" w:rsidRPr="000A3297" w:rsidRDefault="00053EF4" w:rsidP="000A329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6DD8103A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DC5D9C8" w14:textId="77777777" w:rsidR="000A3297" w:rsidRPr="000A3297" w:rsidRDefault="000A3297" w:rsidP="000A329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4084BA" w14:textId="77777777" w:rsidR="001D5E6D" w:rsidRPr="000A3297" w:rsidRDefault="001D5E6D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sz w:val="22"/>
          <w:szCs w:val="22"/>
        </w:rPr>
        <w:t>[Lists forms the reader must use to comply with the policy, explains the purpose of each form, and may provide a hyperlink to the applicable form(s). If this is a new form, provide to OGCC.]</w:t>
      </w:r>
    </w:p>
    <w:p w14:paraId="2830C0D1" w14:textId="77777777" w:rsidR="001D5E6D" w:rsidRPr="000A3297" w:rsidRDefault="001D5E6D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61E551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598B709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3A75AFF" w14:textId="77777777" w:rsidR="001D5E6D" w:rsidRPr="000A3297" w:rsidRDefault="001D5E6D" w:rsidP="001D5E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b/>
          <w:sz w:val="22"/>
          <w:szCs w:val="22"/>
        </w:rPr>
        <w:t>APPENDICES (if applicable)</w:t>
      </w:r>
    </w:p>
    <w:p w14:paraId="565ACB2B" w14:textId="77777777" w:rsidR="001D5E6D" w:rsidRPr="000A3297" w:rsidRDefault="00053EF4" w:rsidP="001D5E6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0E683CC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43104FD" w14:textId="77777777" w:rsidR="000A3297" w:rsidRPr="000A3297" w:rsidRDefault="000A3297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994BFC" w14:textId="1907DA81" w:rsidR="001D5E6D" w:rsidRDefault="001D5E6D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3297">
        <w:rPr>
          <w:rFonts w:ascii="Times New Roman" w:eastAsia="Times New Roman" w:hAnsi="Times New Roman" w:cs="Times New Roman"/>
          <w:sz w:val="22"/>
          <w:szCs w:val="22"/>
        </w:rPr>
        <w:t>[Includes any additional relevant information or documents in attached appendices.]</w:t>
      </w:r>
    </w:p>
    <w:p w14:paraId="5D56335F" w14:textId="77777777" w:rsidR="007F350A" w:rsidRPr="007F350A" w:rsidRDefault="007F350A" w:rsidP="001D5E6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04AF94" w14:textId="0F314AA8" w:rsidR="00E97E50" w:rsidRPr="007F350A" w:rsidRDefault="00053EF4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7109BC6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2881354" w14:textId="206D89AD" w:rsidR="00644C3E" w:rsidRPr="007F350A" w:rsidRDefault="00644C3E" w:rsidP="007F35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7F350A">
        <w:rPr>
          <w:rFonts w:asciiTheme="majorBidi" w:hAnsiTheme="majorBidi" w:cstheme="majorBidi"/>
          <w:b/>
          <w:bCs/>
          <w:sz w:val="22"/>
          <w:szCs w:val="22"/>
        </w:rPr>
        <w:t>CONTACT INFORMATION</w:t>
      </w:r>
    </w:p>
    <w:p w14:paraId="44739024" w14:textId="453B659B" w:rsidR="007F350A" w:rsidRPr="007F350A" w:rsidRDefault="00053EF4" w:rsidP="007F350A">
      <w:pPr>
        <w:rPr>
          <w:rFonts w:asciiTheme="majorBidi" w:hAnsiTheme="majorBid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pict w14:anchorId="1300F70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2B5C06E" w14:textId="3CAE26EE" w:rsidR="007F350A" w:rsidRPr="007F350A" w:rsidRDefault="007F350A" w:rsidP="007F350A">
      <w:pPr>
        <w:rPr>
          <w:rFonts w:asciiTheme="majorBidi" w:hAnsiTheme="majorBidi"/>
          <w:b/>
          <w:sz w:val="22"/>
          <w:szCs w:val="22"/>
        </w:rPr>
      </w:pPr>
    </w:p>
    <w:p w14:paraId="3FC0310B" w14:textId="7741380A" w:rsidR="007F350A" w:rsidRPr="007F350A" w:rsidRDefault="007F350A" w:rsidP="007F350A">
      <w:pPr>
        <w:rPr>
          <w:rFonts w:asciiTheme="majorBidi" w:hAnsiTheme="majorBidi"/>
          <w:bCs/>
          <w:i/>
          <w:iCs/>
          <w:sz w:val="22"/>
          <w:szCs w:val="22"/>
        </w:rPr>
      </w:pPr>
      <w:r w:rsidRPr="007F350A">
        <w:rPr>
          <w:rFonts w:asciiTheme="majorBidi" w:hAnsiTheme="majorBidi"/>
          <w:bCs/>
          <w:sz w:val="22"/>
          <w:szCs w:val="22"/>
        </w:rPr>
        <w:t>[Lists rele</w:t>
      </w:r>
      <w:r>
        <w:rPr>
          <w:rFonts w:asciiTheme="majorBidi" w:hAnsiTheme="majorBidi"/>
          <w:bCs/>
          <w:sz w:val="22"/>
          <w:szCs w:val="22"/>
        </w:rPr>
        <w:t xml:space="preserve">vant position titles and/or offices who may be contacted by University community members for any questions about the policy. </w:t>
      </w:r>
      <w:r w:rsidRPr="007F350A">
        <w:rPr>
          <w:rFonts w:asciiTheme="majorBidi" w:hAnsiTheme="majorBidi"/>
          <w:bCs/>
          <w:i/>
          <w:iCs/>
          <w:sz w:val="22"/>
          <w:szCs w:val="22"/>
        </w:rPr>
        <w:t xml:space="preserve">Note: Do not list </w:t>
      </w:r>
      <w:r>
        <w:rPr>
          <w:rFonts w:asciiTheme="majorBidi" w:hAnsiTheme="majorBidi"/>
          <w:bCs/>
          <w:i/>
          <w:iCs/>
          <w:sz w:val="22"/>
          <w:szCs w:val="22"/>
        </w:rPr>
        <w:t>names</w:t>
      </w:r>
      <w:r w:rsidRPr="007F350A">
        <w:rPr>
          <w:rFonts w:asciiTheme="majorBidi" w:hAnsiTheme="majorBidi"/>
          <w:bCs/>
          <w:i/>
          <w:iCs/>
          <w:sz w:val="22"/>
          <w:szCs w:val="22"/>
        </w:rPr>
        <w:t xml:space="preserve"> of specific </w:t>
      </w:r>
      <w:r>
        <w:rPr>
          <w:rFonts w:asciiTheme="majorBidi" w:hAnsiTheme="majorBidi"/>
          <w:bCs/>
          <w:i/>
          <w:iCs/>
          <w:sz w:val="22"/>
          <w:szCs w:val="22"/>
        </w:rPr>
        <w:t>employees</w:t>
      </w:r>
      <w:r w:rsidRPr="007F350A">
        <w:rPr>
          <w:rFonts w:asciiTheme="majorBidi" w:hAnsiTheme="majorBidi"/>
          <w:bCs/>
          <w:i/>
          <w:iCs/>
          <w:sz w:val="22"/>
          <w:szCs w:val="22"/>
        </w:rPr>
        <w:t xml:space="preserve">, as individuals often change positions. Instead, use </w:t>
      </w:r>
      <w:r>
        <w:rPr>
          <w:rFonts w:asciiTheme="majorBidi" w:hAnsiTheme="majorBidi"/>
          <w:bCs/>
          <w:i/>
          <w:iCs/>
          <w:sz w:val="22"/>
          <w:szCs w:val="22"/>
        </w:rPr>
        <w:t xml:space="preserve">position titles, </w:t>
      </w:r>
      <w:r w:rsidRPr="007F350A">
        <w:rPr>
          <w:rFonts w:asciiTheme="majorBidi" w:hAnsiTheme="majorBidi"/>
          <w:bCs/>
          <w:i/>
          <w:iCs/>
          <w:sz w:val="22"/>
          <w:szCs w:val="22"/>
        </w:rPr>
        <w:t xml:space="preserve">department </w:t>
      </w:r>
      <w:r>
        <w:rPr>
          <w:rFonts w:asciiTheme="majorBidi" w:hAnsiTheme="majorBidi"/>
          <w:bCs/>
          <w:i/>
          <w:iCs/>
          <w:sz w:val="22"/>
          <w:szCs w:val="22"/>
        </w:rPr>
        <w:t xml:space="preserve">names, and/or office </w:t>
      </w:r>
      <w:r w:rsidRPr="007F350A">
        <w:rPr>
          <w:rFonts w:asciiTheme="majorBidi" w:hAnsiTheme="majorBidi"/>
          <w:bCs/>
          <w:i/>
          <w:iCs/>
          <w:sz w:val="22"/>
          <w:szCs w:val="22"/>
        </w:rPr>
        <w:t>email addresses.</w:t>
      </w:r>
      <w:r>
        <w:rPr>
          <w:rFonts w:asciiTheme="majorBidi" w:hAnsiTheme="majorBidi"/>
          <w:bCs/>
          <w:i/>
          <w:iCs/>
          <w:sz w:val="22"/>
          <w:szCs w:val="22"/>
        </w:rPr>
        <w:t>]</w:t>
      </w:r>
    </w:p>
    <w:p w14:paraId="00185557" w14:textId="4B264A96" w:rsidR="007F350A" w:rsidRPr="007F350A" w:rsidRDefault="007F350A" w:rsidP="007F350A">
      <w:pPr>
        <w:rPr>
          <w:rFonts w:asciiTheme="majorBidi" w:hAnsiTheme="majorBidi"/>
          <w:bCs/>
          <w:sz w:val="22"/>
          <w:szCs w:val="22"/>
        </w:rPr>
      </w:pPr>
    </w:p>
    <w:sectPr w:rsidR="007F350A" w:rsidRPr="007F350A" w:rsidSect="001C4D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1A7E" w14:textId="77777777" w:rsidR="00053EF4" w:rsidRDefault="00053EF4" w:rsidP="000A3297">
      <w:r>
        <w:separator/>
      </w:r>
    </w:p>
  </w:endnote>
  <w:endnote w:type="continuationSeparator" w:id="0">
    <w:p w14:paraId="3DD82CF0" w14:textId="77777777" w:rsidR="00053EF4" w:rsidRDefault="00053EF4" w:rsidP="000A3297">
      <w:r>
        <w:continuationSeparator/>
      </w:r>
    </w:p>
  </w:endnote>
  <w:endnote w:type="continuationNotice" w:id="1">
    <w:p w14:paraId="371A4ACD" w14:textId="77777777" w:rsidR="00053EF4" w:rsidRDefault="0005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DCD5" w14:textId="77777777" w:rsidR="00053EF4" w:rsidRDefault="00053EF4" w:rsidP="000A3297">
      <w:r>
        <w:separator/>
      </w:r>
    </w:p>
  </w:footnote>
  <w:footnote w:type="continuationSeparator" w:id="0">
    <w:p w14:paraId="399DDD24" w14:textId="77777777" w:rsidR="00053EF4" w:rsidRDefault="00053EF4" w:rsidP="000A3297">
      <w:r>
        <w:continuationSeparator/>
      </w:r>
    </w:p>
  </w:footnote>
  <w:footnote w:type="continuationNotice" w:id="1">
    <w:p w14:paraId="505428BC" w14:textId="77777777" w:rsidR="00053EF4" w:rsidRDefault="00053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723C" w14:textId="600F7CFF" w:rsidR="00065450" w:rsidRDefault="00FF0451">
    <w:pPr>
      <w:pStyle w:val="Header"/>
    </w:pPr>
    <w:r>
      <w:rPr>
        <w:noProof/>
        <w:sz w:val="16"/>
        <w:szCs w:val="16"/>
        <w:rtl/>
        <w:lang w:val="ar-SA"/>
      </w:rPr>
      <w:drawing>
        <wp:inline distT="0" distB="0" distL="0" distR="0" wp14:anchorId="4D3B2910" wp14:editId="71A33043">
          <wp:extent cx="1930400" cy="357249"/>
          <wp:effectExtent l="0" t="0" r="0" b="0"/>
          <wp:docPr id="18" name="Picture 18" descr="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U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955" cy="36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B3D"/>
    <w:multiLevelType w:val="hybridMultilevel"/>
    <w:tmpl w:val="C6D0964A"/>
    <w:lvl w:ilvl="0" w:tplc="225A21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6D"/>
    <w:rsid w:val="00053EF4"/>
    <w:rsid w:val="000A3297"/>
    <w:rsid w:val="001824CB"/>
    <w:rsid w:val="001C4DD1"/>
    <w:rsid w:val="001D5E6D"/>
    <w:rsid w:val="002668B0"/>
    <w:rsid w:val="00395324"/>
    <w:rsid w:val="00593AD1"/>
    <w:rsid w:val="00644C3E"/>
    <w:rsid w:val="006D2F46"/>
    <w:rsid w:val="007F350A"/>
    <w:rsid w:val="00883793"/>
    <w:rsid w:val="008C20DF"/>
    <w:rsid w:val="00B95AC7"/>
    <w:rsid w:val="00DC193B"/>
    <w:rsid w:val="00E374F9"/>
    <w:rsid w:val="00E97E50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9C1D"/>
  <w15:chartTrackingRefBased/>
  <w15:docId w15:val="{593A49A7-ECA3-C049-BEA8-127E909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6D"/>
  </w:style>
  <w:style w:type="paragraph" w:styleId="Footer">
    <w:name w:val="footer"/>
    <w:basedOn w:val="Normal"/>
    <w:link w:val="FooterChar"/>
    <w:uiPriority w:val="99"/>
    <w:unhideWhenUsed/>
    <w:rsid w:val="000A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97"/>
  </w:style>
  <w:style w:type="paragraph" w:styleId="BalloonText">
    <w:name w:val="Balloon Text"/>
    <w:basedOn w:val="Normal"/>
    <w:link w:val="BalloonTextChar"/>
    <w:uiPriority w:val="99"/>
    <w:semiHidden/>
    <w:unhideWhenUsed/>
    <w:rsid w:val="007F35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1338D20AB624A95148541D52F900A" ma:contentTypeVersion="0" ma:contentTypeDescription="Create a new document." ma:contentTypeScope="" ma:versionID="a670c087ce8f9fb24e201d632ce98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15ADD-3555-4F2F-A35E-2604CC0FF04B}"/>
</file>

<file path=customXml/itemProps2.xml><?xml version="1.0" encoding="utf-8"?>
<ds:datastoreItem xmlns:ds="http://schemas.openxmlformats.org/officeDocument/2006/customXml" ds:itemID="{6BEF4750-37A3-40DF-B6CF-5460D0A53F54}"/>
</file>

<file path=customXml/itemProps3.xml><?xml version="1.0" encoding="utf-8"?>
<ds:datastoreItem xmlns:ds="http://schemas.openxmlformats.org/officeDocument/2006/customXml" ds:itemID="{85518288-52C2-4F36-8149-E5A72DE91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Farajallah</dc:creator>
  <cp:keywords/>
  <dc:description/>
  <cp:lastModifiedBy>Nadia Farajallah</cp:lastModifiedBy>
  <cp:revision>2</cp:revision>
  <cp:lastPrinted>2020-09-13T12:34:00Z</cp:lastPrinted>
  <dcterms:created xsi:type="dcterms:W3CDTF">2021-03-14T11:47:00Z</dcterms:created>
  <dcterms:modified xsi:type="dcterms:W3CDTF">2021-03-14T11:47:00Z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0x010100EB71338D20AB624A95148541D52F900A</vt:lpwstr>
  </property>
</Properties>
</file>